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111515147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b/>
          <w:bCs/>
          <w:caps w:val="0"/>
          <w:sz w:val="20"/>
          <w:szCs w:val="20"/>
          <w:lang w:val="sr-Cyrl-RS"/>
        </w:rPr>
      </w:sdtEndPr>
      <w:sdtContent>
        <w:p w:rsidR="00661C56" w:rsidRPr="00661C56" w:rsidRDefault="00661C56" w:rsidP="00661C56"/>
        <w:p w:rsidR="00661C56" w:rsidRPr="00661C56" w:rsidRDefault="00661C56" w:rsidP="00661C56">
          <w:pPr>
            <w:spacing w:before="100" w:beforeAutospacing="1" w:after="100" w:afterAutospacing="1" w:line="360" w:lineRule="auto"/>
            <w:jc w:val="both"/>
            <w:rPr>
              <w:rFonts w:ascii="Arial" w:eastAsia="Times New Roman" w:hAnsi="Arial" w:cs="Arial"/>
              <w:b/>
              <w:bCs/>
              <w:sz w:val="20"/>
              <w:szCs w:val="20"/>
              <w:lang w:val="sr-Cyrl-RS"/>
            </w:rPr>
          </w:pPr>
        </w:p>
        <w:p w:rsidR="00661C56" w:rsidRPr="00661C56" w:rsidRDefault="00661C56" w:rsidP="00661C56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REPUBLIKA</w:t>
          </w:r>
          <w:r w:rsidRPr="00661C56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SRBIJA</w:t>
          </w:r>
        </w:p>
        <w:p w:rsidR="00661C56" w:rsidRPr="00661C56" w:rsidRDefault="00661C56" w:rsidP="00661C56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NARODNA</w:t>
          </w:r>
          <w:r w:rsidRPr="00661C56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SKUPŠTINA</w:t>
          </w:r>
        </w:p>
        <w:p w:rsidR="00661C56" w:rsidRPr="00661C56" w:rsidRDefault="00661C56" w:rsidP="00661C56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661C56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661C56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661C56" w:rsidRPr="00661C56" w:rsidRDefault="00661C56" w:rsidP="00661C56">
          <w:pPr>
            <w:tabs>
              <w:tab w:val="left" w:pos="567"/>
            </w:tabs>
            <w:spacing w:line="360" w:lineRule="auto"/>
            <w:ind w:left="720" w:hanging="360"/>
            <w:jc w:val="both"/>
            <w:rPr>
              <w:rFonts w:ascii="Arial" w:eastAsia="Calibri" w:hAnsi="Arial" w:cs="Arial"/>
              <w:sz w:val="28"/>
              <w:szCs w:val="28"/>
            </w:rPr>
          </w:pPr>
        </w:p>
        <w:p w:rsidR="00661C56" w:rsidRPr="00661C56" w:rsidRDefault="00661C56" w:rsidP="00661C56">
          <w:pPr>
            <w:tabs>
              <w:tab w:val="left" w:pos="567"/>
            </w:tabs>
            <w:spacing w:line="360" w:lineRule="auto"/>
            <w:ind w:left="720" w:hanging="360"/>
            <w:jc w:val="both"/>
            <w:rPr>
              <w:rFonts w:ascii="Arial" w:eastAsia="Calibri" w:hAnsi="Arial" w:cs="Arial"/>
              <w:sz w:val="28"/>
              <w:szCs w:val="28"/>
            </w:rPr>
          </w:pPr>
        </w:p>
        <w:p w:rsidR="00661C56" w:rsidRPr="00661C56" w:rsidRDefault="00661C56" w:rsidP="00661C56">
          <w:pPr>
            <w:tabs>
              <w:tab w:val="left" w:pos="567"/>
            </w:tabs>
            <w:spacing w:line="360" w:lineRule="auto"/>
            <w:ind w:left="720" w:hanging="360"/>
            <w:jc w:val="both"/>
            <w:rPr>
              <w:rFonts w:ascii="Arial" w:eastAsia="Calibri" w:hAnsi="Arial" w:cs="Arial"/>
              <w:sz w:val="28"/>
              <w:szCs w:val="28"/>
            </w:rPr>
          </w:pPr>
        </w:p>
        <w:p w:rsidR="00661C56" w:rsidRPr="00661C56" w:rsidRDefault="00661C56" w:rsidP="00661C56">
          <w:pPr>
            <w:tabs>
              <w:tab w:val="left" w:pos="567"/>
            </w:tabs>
            <w:spacing w:line="360" w:lineRule="auto"/>
            <w:jc w:val="both"/>
            <w:rPr>
              <w:rFonts w:ascii="Arial" w:eastAsia="Calibri" w:hAnsi="Arial" w:cs="Arial"/>
              <w:sz w:val="28"/>
              <w:szCs w:val="28"/>
              <w:lang w:val="bs-Cyrl-BA"/>
            </w:rPr>
          </w:pPr>
          <w:r w:rsidRPr="00661C56">
            <w:rPr>
              <w:rFonts w:ascii="Arial" w:eastAsia="Calibri" w:hAnsi="Arial" w:cs="Arial"/>
              <w:sz w:val="28"/>
              <w:szCs w:val="28"/>
              <w:lang w:val="bs-Cyrl-BA"/>
            </w:rPr>
            <w:t xml:space="preserve">  </w:t>
          </w:r>
        </w:p>
        <w:p w:rsidR="00661C56" w:rsidRPr="00661C56" w:rsidRDefault="00661C56" w:rsidP="00661C56">
          <w:pPr>
            <w:spacing w:after="0" w:line="240" w:lineRule="auto"/>
            <w:rPr>
              <w:rFonts w:ascii="Arial" w:hAnsi="Arial" w:cs="Arial"/>
              <w:b/>
              <w:bCs/>
              <w:sz w:val="28"/>
              <w:szCs w:val="28"/>
              <w:lang w:val="bs-Cyrl-BA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Tema</w:t>
          </w:r>
          <w:r w:rsidRPr="00661C56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:  </w:t>
          </w: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POSTUPAK</w:t>
          </w:r>
          <w:r w:rsidRPr="00661C56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 </w:t>
          </w:r>
          <w:r w:rsidR="007A266A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USVAJAN</w:t>
          </w:r>
          <w:r w:rsidR="007A266A">
            <w:rPr>
              <w:rFonts w:ascii="Arial" w:hAnsi="Arial" w:cs="Arial"/>
              <w:b/>
              <w:bCs/>
              <w:sz w:val="28"/>
              <w:szCs w:val="28"/>
              <w:lang w:val="sr-Latn-RS"/>
            </w:rPr>
            <w:t>J</w:t>
          </w: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A</w:t>
          </w:r>
          <w:r w:rsidRPr="00661C56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 </w:t>
          </w:r>
          <w:r w:rsidR="007A266A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BUD</w:t>
          </w:r>
          <w:r w:rsidR="007A266A">
            <w:rPr>
              <w:rFonts w:ascii="Arial" w:hAnsi="Arial" w:cs="Arial"/>
              <w:b/>
              <w:bCs/>
              <w:sz w:val="28"/>
              <w:szCs w:val="28"/>
              <w:lang w:val="sr-Latn-RS"/>
            </w:rPr>
            <w:t>Ž</w:t>
          </w: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ETA</w:t>
          </w:r>
          <w:r w:rsidRPr="00661C56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VLADE</w:t>
          </w:r>
        </w:p>
        <w:p w:rsidR="00661C56" w:rsidRPr="00661C56" w:rsidRDefault="00661C56" w:rsidP="00661C56">
          <w:pPr>
            <w:spacing w:after="0" w:line="240" w:lineRule="auto"/>
            <w:rPr>
              <w:rFonts w:ascii="Arial" w:hAnsi="Arial" w:cs="Arial"/>
              <w:b/>
              <w:bCs/>
              <w:sz w:val="28"/>
              <w:szCs w:val="28"/>
              <w:lang w:val="bs-Cyrl-BA"/>
            </w:rPr>
          </w:pPr>
          <w:r w:rsidRPr="00661C56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            </w:t>
          </w:r>
          <w:r w:rsidR="007A266A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SJEDIN</w:t>
          </w:r>
          <w:r w:rsidR="007A266A">
            <w:rPr>
              <w:rFonts w:ascii="Arial" w:hAnsi="Arial" w:cs="Arial"/>
              <w:b/>
              <w:bCs/>
              <w:sz w:val="28"/>
              <w:szCs w:val="28"/>
              <w:lang w:val="sr-Latn-RS"/>
            </w:rPr>
            <w:t>J</w:t>
          </w: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ENIH</w:t>
          </w:r>
          <w:r w:rsidRPr="00661C56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AMERIČKIH</w:t>
          </w:r>
          <w:r w:rsidRPr="00661C56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DRŽAVA</w:t>
          </w:r>
        </w:p>
        <w:p w:rsidR="00661C56" w:rsidRPr="00661C56" w:rsidRDefault="00661C56" w:rsidP="00661C56">
          <w:pPr>
            <w:tabs>
              <w:tab w:val="left" w:pos="567"/>
            </w:tabs>
            <w:spacing w:line="360" w:lineRule="auto"/>
            <w:ind w:left="270"/>
            <w:jc w:val="both"/>
            <w:rPr>
              <w:rFonts w:ascii="Arial" w:eastAsia="Calibri" w:hAnsi="Arial" w:cs="Arial"/>
              <w:b/>
              <w:bCs/>
              <w:sz w:val="28"/>
              <w:szCs w:val="28"/>
              <w:lang w:val="bs-Cyrl-BA"/>
            </w:rPr>
          </w:pPr>
        </w:p>
        <w:p w:rsidR="00661C56" w:rsidRPr="00661C56" w:rsidRDefault="00661C56" w:rsidP="00661C56">
          <w:pPr>
            <w:tabs>
              <w:tab w:val="left" w:pos="0"/>
            </w:tabs>
            <w:spacing w:line="360" w:lineRule="auto"/>
            <w:ind w:left="270"/>
            <w:jc w:val="both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Datum</w:t>
          </w:r>
          <w:r w:rsidRPr="00661C56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:  05.07.2013.</w:t>
          </w:r>
        </w:p>
        <w:p w:rsidR="00661C56" w:rsidRPr="00661C56" w:rsidRDefault="00661C56" w:rsidP="00661C56">
          <w:pPr>
            <w:tabs>
              <w:tab w:val="left" w:pos="567"/>
            </w:tabs>
            <w:spacing w:line="360" w:lineRule="auto"/>
            <w:ind w:left="270"/>
            <w:jc w:val="both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Br</w:t>
          </w:r>
          <w:r w:rsidRPr="00661C56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.:</w:t>
          </w:r>
          <w:r w:rsidRPr="00661C56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ab/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Z</w:t>
          </w:r>
          <w:r w:rsidR="001A7340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-10</w:t>
          </w:r>
          <w:r w:rsidRPr="00661C56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/13</w:t>
          </w:r>
        </w:p>
        <w:p w:rsidR="00661C56" w:rsidRPr="00661C56" w:rsidRDefault="00661C56" w:rsidP="00661C56">
          <w:pPr>
            <w:spacing w:line="360" w:lineRule="auto"/>
            <w:jc w:val="both"/>
            <w:rPr>
              <w:rFonts w:ascii="Arial" w:eastAsia="Calibri" w:hAnsi="Arial" w:cs="Arial"/>
              <w:sz w:val="28"/>
              <w:szCs w:val="28"/>
              <w:lang w:val="bs-Cyrl-BA"/>
            </w:rPr>
          </w:pPr>
        </w:p>
        <w:p w:rsidR="00661C56" w:rsidRPr="00661C56" w:rsidRDefault="00661C56" w:rsidP="00661C56">
          <w:pPr>
            <w:spacing w:line="360" w:lineRule="auto"/>
            <w:jc w:val="both"/>
            <w:rPr>
              <w:rFonts w:ascii="Arial" w:eastAsia="Calibri" w:hAnsi="Arial" w:cs="Arial"/>
              <w:sz w:val="28"/>
              <w:szCs w:val="28"/>
              <w:lang w:val="bs-Cyrl-BA"/>
            </w:rPr>
          </w:pPr>
        </w:p>
        <w:p w:rsidR="00661C56" w:rsidRPr="00661C56" w:rsidRDefault="00661C56" w:rsidP="00661C56">
          <w:pPr>
            <w:spacing w:line="360" w:lineRule="auto"/>
            <w:jc w:val="both"/>
            <w:rPr>
              <w:rFonts w:ascii="Arial" w:eastAsia="Calibri" w:hAnsi="Arial" w:cs="Arial"/>
              <w:sz w:val="28"/>
              <w:szCs w:val="28"/>
              <w:lang w:val="bs-Cyrl-BA"/>
            </w:rPr>
          </w:pPr>
        </w:p>
        <w:p w:rsidR="00661C56" w:rsidRPr="00661C56" w:rsidRDefault="00661C56" w:rsidP="00661C56">
          <w:pPr>
            <w:spacing w:line="360" w:lineRule="auto"/>
            <w:jc w:val="both"/>
            <w:rPr>
              <w:rFonts w:ascii="Arial" w:eastAsia="Calibri" w:hAnsi="Arial" w:cs="Arial"/>
              <w:sz w:val="20"/>
              <w:szCs w:val="20"/>
              <w:lang w:val="bs-Cyrl-BA"/>
            </w:rPr>
          </w:pPr>
        </w:p>
        <w:p w:rsidR="00661C56" w:rsidRPr="00661C56" w:rsidRDefault="00661C56" w:rsidP="00661C56">
          <w:pPr>
            <w:spacing w:after="0" w:line="240" w:lineRule="auto"/>
            <w:jc w:val="both"/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</w:pPr>
          <w:bookmarkStart w:id="0" w:name="_Toc196037342"/>
          <w:bookmarkEnd w:id="0"/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Ovo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istraživanje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je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uradila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Biblioteka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Narodne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skupštine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za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potrebe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rada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narodnih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poslanika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i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Službe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Narodne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skupštine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.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Za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više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informacija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molimo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da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nas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kontaktirate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putem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telefona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3026-532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i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elektronske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pošte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hyperlink r:id="rId9" w:history="1">
            <w:r w:rsidRPr="00661C56">
              <w:rPr>
                <w:rFonts w:ascii="Arial" w:eastAsia="Calibri" w:hAnsi="Arial" w:cs="Arial"/>
                <w:b/>
                <w:bCs/>
                <w:i/>
                <w:color w:val="0000FF"/>
                <w:sz w:val="20"/>
                <w:szCs w:val="20"/>
                <w:u w:val="single"/>
                <w:lang w:val="bs-Cyrl-BA"/>
              </w:rPr>
              <w:t>istrazivanja@parlament.rs</w:t>
            </w:r>
            <w:r w:rsidRPr="00661C56">
              <w:rPr>
                <w:rFonts w:ascii="Arial" w:eastAsia="Calibri" w:hAnsi="Arial" w:cs="Arial"/>
                <w:b/>
                <w:bCs/>
                <w:color w:val="0000FF"/>
                <w:sz w:val="20"/>
                <w:szCs w:val="20"/>
                <w:u w:val="single"/>
                <w:lang w:val="bs-Cyrl-BA"/>
              </w:rPr>
              <w:t>.</w:t>
            </w:r>
          </w:hyperlink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Istraživanja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koj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a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priprema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Biblioteka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Narodne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>skupštine</w:t>
          </w:r>
          <w:r w:rsidRPr="00661C56"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>ne</w:t>
          </w:r>
          <w:r w:rsidRPr="00661C56"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>odražavaju</w:t>
          </w:r>
          <w:r w:rsidRPr="00661C56"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>zvanični</w:t>
          </w:r>
          <w:r w:rsidRPr="00661C56"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>stav</w:t>
          </w:r>
          <w:r w:rsidRPr="00661C56"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>Narodne</w:t>
          </w:r>
          <w:r w:rsidRPr="00661C56"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>skupštine</w:t>
          </w:r>
          <w:r w:rsidRPr="00661C56"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pacing w:val="-4"/>
              <w:sz w:val="20"/>
              <w:szCs w:val="20"/>
              <w:lang w:val="bs-Cyrl-BA"/>
            </w:rPr>
            <w:t>Republike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>Srbije</w:t>
          </w:r>
          <w:r w:rsidRPr="00661C56">
            <w:rPr>
              <w:rFonts w:ascii="Arial" w:eastAsia="Calibri" w:hAnsi="Arial" w:cs="Arial"/>
              <w:b/>
              <w:bCs/>
              <w:sz w:val="20"/>
              <w:szCs w:val="20"/>
              <w:lang w:val="bs-Cyrl-BA"/>
            </w:rPr>
            <w:t xml:space="preserve">. </w:t>
          </w:r>
        </w:p>
        <w:p w:rsidR="00661C56" w:rsidRPr="00661C56" w:rsidRDefault="00661C56" w:rsidP="00661C56">
          <w:pPr>
            <w:rPr>
              <w:rFonts w:ascii="Arial" w:hAnsi="Arial" w:cs="Arial"/>
              <w:b/>
              <w:bCs/>
              <w:sz w:val="20"/>
              <w:szCs w:val="20"/>
              <w:lang w:val="sr-Cyrl-RS"/>
            </w:rPr>
          </w:pPr>
          <w:r w:rsidRPr="00661C56">
            <w:rPr>
              <w:rFonts w:ascii="Arial" w:hAnsi="Arial" w:cs="Arial"/>
              <w:b/>
              <w:bCs/>
              <w:sz w:val="20"/>
              <w:szCs w:val="20"/>
              <w:lang w:val="sr-Cyrl-RS"/>
            </w:rPr>
            <w:br w:type="page"/>
          </w:r>
        </w:p>
      </w:sdtContent>
    </w:sdt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SADRŽAJ</w:t>
      </w:r>
    </w:p>
    <w:p w:rsidR="007A266A" w:rsidRDefault="007A266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r>
        <w:rPr>
          <w:rFonts w:cs="Arial"/>
          <w:b/>
          <w:bCs/>
          <w:szCs w:val="20"/>
          <w:lang w:val="sr-Cyrl-RS"/>
        </w:rPr>
        <w:fldChar w:fldCharType="begin"/>
      </w:r>
      <w:r>
        <w:rPr>
          <w:rFonts w:cs="Arial"/>
          <w:b/>
          <w:bCs/>
          <w:szCs w:val="20"/>
          <w:lang w:val="sr-Cyrl-RS"/>
        </w:rPr>
        <w:instrText xml:space="preserve"> TOC \o "1-1" \h \z \u </w:instrText>
      </w:r>
      <w:r>
        <w:rPr>
          <w:rFonts w:cs="Arial"/>
          <w:b/>
          <w:bCs/>
          <w:szCs w:val="20"/>
          <w:lang w:val="sr-Cyrl-RS"/>
        </w:rPr>
        <w:fldChar w:fldCharType="separate"/>
      </w:r>
      <w:hyperlink w:anchor="_Toc361837146" w:history="1">
        <w:r w:rsidRPr="00D52273">
          <w:rPr>
            <w:rStyle w:val="Hyperlink"/>
            <w:rFonts w:eastAsiaTheme="majorEastAsia" w:cstheme="majorBidi"/>
            <w:b/>
            <w:bCs/>
            <w:noProof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_Toc361837146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66A" w:rsidRDefault="007A266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1837147" w:history="1">
        <w:r w:rsidRPr="00D52273">
          <w:rPr>
            <w:rStyle w:val="Hyperlink"/>
            <w:rFonts w:eastAsiaTheme="majorEastAsia" w:cstheme="majorBidi"/>
            <w:b/>
            <w:bCs/>
            <w:noProof/>
            <w:lang w:val="sr-Cyrl-RS"/>
          </w:rPr>
          <w:t>RADNA TELA KONGRESA NADLEŽNA ZA USVAJANjE BUD</w:t>
        </w:r>
        <w:r w:rsidRPr="00D52273">
          <w:rPr>
            <w:rStyle w:val="Hyperlink"/>
            <w:rFonts w:eastAsiaTheme="majorEastAsia" w:cstheme="majorBidi"/>
            <w:b/>
            <w:bCs/>
            <w:noProof/>
            <w:lang w:val="sr-Latn-RS"/>
          </w:rPr>
          <w:t>Ž</w:t>
        </w:r>
        <w:r w:rsidRPr="00D52273">
          <w:rPr>
            <w:rStyle w:val="Hyperlink"/>
            <w:rFonts w:eastAsiaTheme="majorEastAsia" w:cstheme="majorBidi"/>
            <w:b/>
            <w:bCs/>
            <w:noProof/>
            <w:lang w:val="sr-Cyrl-RS"/>
          </w:rPr>
          <w:t>ETA VLADE SAD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_Toc361837147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266A" w:rsidRDefault="007A266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1837148" w:history="1">
        <w:r w:rsidRPr="00D52273">
          <w:rPr>
            <w:rStyle w:val="Hyperlink"/>
            <w:rFonts w:eastAsiaTheme="majorEastAsia" w:cstheme="majorBidi"/>
            <w:b/>
            <w:bCs/>
            <w:noProof/>
          </w:rPr>
          <w:t>BUDŽETSKI PROCES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_Toc361837148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A266A" w:rsidRDefault="007A266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1837149" w:history="1">
        <w:r w:rsidRPr="00D52273">
          <w:rPr>
            <w:rStyle w:val="Hyperlink"/>
            <w:rFonts w:eastAsiaTheme="majorEastAsia" w:cs="Arial"/>
            <w:b/>
            <w:bCs/>
            <w:noProof/>
            <w:lang w:val="sr-Cyrl-RS"/>
          </w:rPr>
          <w:t>KONGRESNA KANCELARIJA ZA BUD</w:t>
        </w:r>
        <w:r w:rsidRPr="00D52273">
          <w:rPr>
            <w:rStyle w:val="Hyperlink"/>
            <w:rFonts w:eastAsiaTheme="majorEastAsia" w:cs="Arial"/>
            <w:b/>
            <w:bCs/>
            <w:noProof/>
            <w:lang w:val="sr-Latn-RS"/>
          </w:rPr>
          <w:t>Ž</w:t>
        </w:r>
        <w:r w:rsidRPr="00D52273">
          <w:rPr>
            <w:rStyle w:val="Hyperlink"/>
            <w:rFonts w:eastAsiaTheme="majorEastAsia" w:cs="Arial"/>
            <w:b/>
            <w:bCs/>
            <w:noProof/>
            <w:lang w:val="sr-Cyrl-RS"/>
          </w:rPr>
          <w:t>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_Toc361837149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A266A" w:rsidRDefault="007A266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1837150" w:history="1">
        <w:r w:rsidRPr="00D52273">
          <w:rPr>
            <w:rStyle w:val="Hyperlink"/>
            <w:rFonts w:eastAsia="Calibri" w:cstheme="majorBidi"/>
            <w:b/>
            <w:bCs/>
            <w:noProof/>
            <w:lang w:val="sr-Cyrl-CS"/>
          </w:rPr>
          <w:t>DRŽAVNA REVIZORSKA INSTITUCIJA SAD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_Toc361837150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61C56" w:rsidRPr="00661C56" w:rsidRDefault="007A266A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fldChar w:fldCharType="end"/>
      </w:r>
      <w:bookmarkStart w:id="1" w:name="_GoBack"/>
      <w:bookmarkEnd w:id="1"/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661C56" w:rsidRPr="00661C56" w:rsidRDefault="00661C56" w:rsidP="00661C56">
      <w:pPr>
        <w:keepNext/>
        <w:keepLines/>
        <w:spacing w:before="480" w:after="0"/>
        <w:outlineLvl w:val="0"/>
        <w:rPr>
          <w:rFonts w:ascii="Arial" w:eastAsiaTheme="majorEastAsia" w:hAnsi="Arial" w:cstheme="majorBidi"/>
          <w:b/>
          <w:bCs/>
          <w:sz w:val="20"/>
          <w:szCs w:val="28"/>
        </w:rPr>
      </w:pPr>
      <w:bookmarkStart w:id="2" w:name="_Toc361837146"/>
      <w:r>
        <w:rPr>
          <w:rFonts w:ascii="Arial" w:eastAsiaTheme="majorEastAsia" w:hAnsi="Arial" w:cstheme="majorBidi"/>
          <w:b/>
          <w:bCs/>
          <w:sz w:val="20"/>
          <w:szCs w:val="28"/>
        </w:rPr>
        <w:lastRenderedPageBreak/>
        <w:t>UVOD</w:t>
      </w:r>
      <w:bookmarkEnd w:id="2"/>
    </w:p>
    <w:p w:rsidR="00661C56" w:rsidRPr="00661C56" w:rsidRDefault="00661C56" w:rsidP="00661C56">
      <w:pPr>
        <w:rPr>
          <w:lang w:val="sr-Cyrl-R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>P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olitički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sistem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Sjedinjenih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Američkih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Država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>)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definisan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Ustavom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usvojen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1787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godine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amandmani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Ustav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drugim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zakonima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Ustav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delegira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vršenje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javnih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ovlašćenja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saveznoj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državi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Ustav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SAD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uvažava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princip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podele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vlasti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prema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kojem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avezna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država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ima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zakonodavnu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izvršnu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sudsku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vlast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koj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rade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odvojeno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jedn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drug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Trenutno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Ustav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sastoji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preambule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</w:t>
      </w:r>
      <w:r>
        <w:rPr>
          <w:rFonts w:ascii="Arial" w:hAnsi="Arial" w:cs="Arial"/>
          <w:sz w:val="20"/>
          <w:szCs w:val="20"/>
          <w:lang w:val="sr-Cyrl-RS"/>
        </w:rPr>
        <w:t>oj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85 </w:t>
      </w:r>
      <w:r>
        <w:rPr>
          <w:rFonts w:ascii="Arial" w:hAnsi="Arial" w:cs="Arial"/>
          <w:sz w:val="20"/>
          <w:szCs w:val="20"/>
          <w:lang w:val="sr-Latn-RS"/>
        </w:rPr>
        <w:t>ključn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</w:t>
      </w:r>
      <w:r>
        <w:rPr>
          <w:rFonts w:ascii="Arial" w:hAnsi="Arial" w:cs="Arial"/>
          <w:sz w:val="20"/>
          <w:szCs w:val="20"/>
          <w:lang w:val="sr-Cyrl-RS"/>
        </w:rPr>
        <w:t>eva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Ustava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7 </w:t>
      </w:r>
      <w:r>
        <w:rPr>
          <w:rFonts w:ascii="Arial" w:hAnsi="Arial" w:cs="Arial"/>
          <w:sz w:val="20"/>
          <w:szCs w:val="20"/>
          <w:lang w:val="sr-Latn-RS"/>
        </w:rPr>
        <w:t>član</w:t>
      </w:r>
      <w:r>
        <w:rPr>
          <w:rFonts w:ascii="Arial" w:hAnsi="Arial" w:cs="Arial"/>
          <w:sz w:val="20"/>
          <w:szCs w:val="20"/>
          <w:lang w:val="sr-Cyrl-RS"/>
        </w:rPr>
        <w:t>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27 </w:t>
      </w:r>
      <w:r>
        <w:rPr>
          <w:rFonts w:ascii="Arial" w:hAnsi="Arial" w:cs="Arial"/>
          <w:sz w:val="20"/>
          <w:szCs w:val="20"/>
          <w:lang w:val="sr-Latn-RS"/>
        </w:rPr>
        <w:t>amandmana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prvi</w:t>
      </w:r>
      <w:r>
        <w:rPr>
          <w:rFonts w:ascii="Arial" w:hAnsi="Arial" w:cs="Arial"/>
          <w:sz w:val="20"/>
          <w:szCs w:val="20"/>
          <w:lang w:val="sr-Cyrl-RS"/>
        </w:rPr>
        <w:t>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10 </w:t>
      </w:r>
      <w:r>
        <w:rPr>
          <w:rFonts w:ascii="Arial" w:hAnsi="Arial" w:cs="Arial"/>
          <w:sz w:val="20"/>
          <w:szCs w:val="20"/>
          <w:lang w:val="sr-Latn-RS"/>
        </w:rPr>
        <w:t>čine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</w:t>
      </w:r>
      <w:r>
        <w:rPr>
          <w:rFonts w:ascii="Arial" w:hAnsi="Arial" w:cs="Arial"/>
          <w:sz w:val="20"/>
          <w:szCs w:val="20"/>
          <w:lang w:val="sr-Cyrl-RS"/>
        </w:rPr>
        <w:t>ovelju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pravima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tumač</w:t>
      </w:r>
      <w:r>
        <w:rPr>
          <w:rFonts w:ascii="Arial" w:hAnsi="Arial" w:cs="Arial"/>
          <w:sz w:val="20"/>
          <w:szCs w:val="20"/>
          <w:lang w:val="sr-Cyrl-RS"/>
        </w:rPr>
        <w:t>enja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dopunjav</w:t>
      </w:r>
      <w:r>
        <w:rPr>
          <w:rFonts w:ascii="Arial" w:hAnsi="Arial" w:cs="Arial"/>
          <w:sz w:val="20"/>
          <w:szCs w:val="20"/>
          <w:lang w:val="sr-Cyrl-RS"/>
        </w:rPr>
        <w:t>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sprovo</w:t>
      </w:r>
      <w:r>
        <w:rPr>
          <w:rFonts w:ascii="Arial" w:hAnsi="Arial" w:cs="Arial"/>
          <w:sz w:val="20"/>
          <w:szCs w:val="20"/>
          <w:lang w:val="sr-Cyrl-RS"/>
        </w:rPr>
        <w:t>đenja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izgrađen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veliki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korpus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ustavnog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prava</w:t>
      </w:r>
      <w:r w:rsidRPr="00661C56">
        <w:rPr>
          <w:rFonts w:ascii="Arial" w:hAnsi="Arial" w:cs="Arial"/>
          <w:sz w:val="20"/>
          <w:szCs w:val="20"/>
          <w:lang w:val="sr-Cyrl-RS"/>
        </w:rPr>
        <w:t>.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>Dvopartijnost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bitno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odlikuje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politički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život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Dve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političke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partije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Demokratska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stranka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Republikanska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stranka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dominir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političkim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životom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američkog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građanskog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rata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mada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manje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partije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poput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L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iber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tarijanske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stranke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(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Libertarian Party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>)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takođe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postoje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ali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su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malo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zastupljene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ostvarajuju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značajniji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uticaj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političkom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životu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ostoje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velike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između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političkog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političkih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razvijenih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demokratija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Ovo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uključuje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moć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gornje</w:t>
      </w:r>
      <w:r>
        <w:rPr>
          <w:rFonts w:ascii="Arial" w:hAnsi="Arial" w:cs="Arial"/>
          <w:sz w:val="20"/>
          <w:szCs w:val="20"/>
          <w:lang w:val="sr-Cyrl-RS"/>
        </w:rPr>
        <w:t>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parlamenta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širi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Vrhovnog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dominacij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glavne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političke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Ostale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političke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stran</w:t>
      </w:r>
      <w:r>
        <w:rPr>
          <w:rFonts w:ascii="Arial" w:hAnsi="Arial" w:cs="Arial"/>
          <w:sz w:val="20"/>
          <w:szCs w:val="20"/>
          <w:lang w:val="sr-Cyrl-RS"/>
        </w:rPr>
        <w:t>k</w:t>
      </w:r>
      <w:r>
        <w:rPr>
          <w:rFonts w:ascii="Arial" w:hAnsi="Arial" w:cs="Arial"/>
          <w:sz w:val="20"/>
          <w:szCs w:val="20"/>
          <w:lang w:val="sr-Latn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manj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politički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uticaj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nego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razvijenim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demokrat</w:t>
      </w:r>
      <w:r>
        <w:rPr>
          <w:rFonts w:ascii="Arial" w:hAnsi="Arial" w:cs="Arial"/>
          <w:sz w:val="20"/>
          <w:szCs w:val="20"/>
          <w:lang w:val="sr-Cyrl-RS"/>
        </w:rPr>
        <w:t>skim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državama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Savez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stvorio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Ustav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dominantna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američko</w:t>
      </w:r>
      <w:r>
        <w:rPr>
          <w:rFonts w:ascii="Arial" w:hAnsi="Arial" w:cs="Arial"/>
          <w:sz w:val="20"/>
          <w:szCs w:val="20"/>
          <w:lang w:val="sr-Cyrl-RS"/>
        </w:rPr>
        <w:t>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državno</w:t>
      </w:r>
      <w:r>
        <w:rPr>
          <w:rFonts w:ascii="Arial" w:hAnsi="Arial" w:cs="Arial"/>
          <w:sz w:val="20"/>
          <w:szCs w:val="20"/>
          <w:lang w:val="sr-Cyrl-RS"/>
        </w:rPr>
        <w:t>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suverenitet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Međutim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velikog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različiti</w:t>
      </w:r>
      <w:r>
        <w:rPr>
          <w:rFonts w:ascii="Arial" w:hAnsi="Arial" w:cs="Arial"/>
          <w:sz w:val="20"/>
          <w:szCs w:val="20"/>
          <w:lang w:val="sr-Cyrl-RS"/>
        </w:rPr>
        <w:t>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jedinica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samouprave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uključuj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okruge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opštine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specijalne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okrug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Latn-RS"/>
        </w:rPr>
        <w:br/>
      </w:r>
      <w:r w:rsidRPr="00661C56">
        <w:rPr>
          <w:rFonts w:ascii="Arial" w:hAnsi="Arial" w:cs="Arial"/>
          <w:sz w:val="20"/>
          <w:szCs w:val="20"/>
          <w:lang w:val="sr-Latn-RS"/>
        </w:rPr>
        <w:br/>
      </w:r>
      <w:r>
        <w:rPr>
          <w:rFonts w:ascii="Arial" w:hAnsi="Arial" w:cs="Arial"/>
          <w:sz w:val="20"/>
          <w:szCs w:val="20"/>
          <w:lang w:val="sr-Latn-RS"/>
        </w:rPr>
        <w:t>Ovo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mnoštvo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nadležnosti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odražava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istoriju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zemlje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Savezna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stvorena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</w:t>
      </w:r>
      <w:r>
        <w:rPr>
          <w:rFonts w:ascii="Arial" w:hAnsi="Arial" w:cs="Arial"/>
          <w:sz w:val="20"/>
          <w:szCs w:val="20"/>
          <w:lang w:val="sr-Cyrl-RS"/>
        </w:rPr>
        <w:t>oje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kolonije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zasebno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uspostavlj</w:t>
      </w:r>
      <w:r>
        <w:rPr>
          <w:rFonts w:ascii="Arial" w:hAnsi="Arial" w:cs="Arial"/>
          <w:sz w:val="20"/>
          <w:szCs w:val="20"/>
          <w:lang w:val="sr-Cyrl-RS"/>
        </w:rPr>
        <w:t>ane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imale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nezavisno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Kolonije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stvorile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</w:t>
      </w:r>
      <w:r>
        <w:rPr>
          <w:rFonts w:ascii="Arial" w:hAnsi="Arial" w:cs="Arial"/>
          <w:sz w:val="20"/>
          <w:szCs w:val="20"/>
          <w:lang w:val="sr-Latn-RS"/>
        </w:rPr>
        <w:t>edinice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samouprave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efikasno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obavlja</w:t>
      </w:r>
      <w:r>
        <w:rPr>
          <w:rFonts w:ascii="Arial" w:hAnsi="Arial" w:cs="Arial"/>
          <w:sz w:val="20"/>
          <w:szCs w:val="20"/>
          <w:lang w:val="sr-Cyrl-RS"/>
        </w:rPr>
        <w:t>le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funkcije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Ka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zemlja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proširila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nov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nastajala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uzoru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postojeće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razvijene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kolonijama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Latn-RS" w:bidi="gu-IN"/>
        </w:rPr>
        <w:t>Izvršna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vlast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čelu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redsednikom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nezavisna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parlamenta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Predsednik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šef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vlad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glavnokomandujući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oružanih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snaga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Zbog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ovako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velikih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šef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ujedno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hyperlink r:id="rId10" w:tooltip="Шеф владе" w:history="1">
        <w:r>
          <w:rPr>
            <w:rFonts w:ascii="Arial" w:hAnsi="Arial" w:cs="Arial"/>
            <w:sz w:val="20"/>
            <w:szCs w:val="20"/>
            <w:lang w:val="sr-Latn-RS"/>
          </w:rPr>
          <w:t>šef</w:t>
        </w:r>
        <w:r w:rsidRPr="00661C56">
          <w:rPr>
            <w:rFonts w:ascii="Arial" w:hAnsi="Arial" w:cs="Arial"/>
            <w:sz w:val="20"/>
            <w:szCs w:val="20"/>
            <w:lang w:val="sr-Latn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RS"/>
          </w:rPr>
          <w:t>vlade</w:t>
        </w:r>
      </w:hyperlink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nalazi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čelu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hyperlink r:id="rId11" w:tooltip="Извршна власт" w:history="1">
        <w:r>
          <w:rPr>
            <w:rFonts w:ascii="Arial" w:hAnsi="Arial" w:cs="Arial"/>
            <w:sz w:val="20"/>
            <w:szCs w:val="20"/>
            <w:lang w:val="sr-Latn-RS"/>
          </w:rPr>
          <w:t>izvršne</w:t>
        </w:r>
        <w:r w:rsidRPr="00661C56">
          <w:rPr>
            <w:rFonts w:ascii="Arial" w:hAnsi="Arial" w:cs="Arial"/>
            <w:sz w:val="20"/>
            <w:szCs w:val="20"/>
            <w:lang w:val="sr-Latn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RS"/>
          </w:rPr>
          <w:t>vlasti</w:t>
        </w:r>
      </w:hyperlink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politički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smatra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najreprezentativnijim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oblikom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predsedničkog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političkog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sistema</w:t>
      </w:r>
      <w:r w:rsidRPr="00661C56">
        <w:rPr>
          <w:rFonts w:ascii="Arial" w:hAnsi="Arial" w:cs="Arial"/>
          <w:sz w:val="20"/>
          <w:szCs w:val="20"/>
          <w:lang w:val="sr-Cyrl-RS"/>
        </w:rPr>
        <w:t>.</w:t>
      </w:r>
      <w:r w:rsidRPr="00661C56">
        <w:rPr>
          <w:rFonts w:ascii="Arial" w:hAnsi="Arial" w:cs="Arial"/>
          <w:sz w:val="20"/>
          <w:szCs w:val="20"/>
          <w:lang w:val="sr-Latn-RS"/>
        </w:rPr>
        <w:br/>
      </w:r>
      <w:r w:rsidRPr="00661C56">
        <w:rPr>
          <w:rFonts w:ascii="Arial" w:hAnsi="Arial" w:cs="Arial"/>
          <w:sz w:val="20"/>
          <w:szCs w:val="20"/>
          <w:lang w:val="sr-Latn-RS"/>
        </w:rPr>
        <w:br/>
      </w:r>
      <w:r>
        <w:rPr>
          <w:rFonts w:ascii="Arial" w:hAnsi="Arial" w:cs="Arial"/>
          <w:sz w:val="20"/>
          <w:szCs w:val="20"/>
          <w:lang w:val="sr-Latn-RS"/>
        </w:rPr>
        <w:t>Američki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predsednik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četiri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obavlja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dužnost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duže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mandata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22. </w:t>
      </w:r>
      <w:r>
        <w:rPr>
          <w:rFonts w:ascii="Arial" w:hAnsi="Arial" w:cs="Arial"/>
          <w:sz w:val="20"/>
          <w:szCs w:val="20"/>
          <w:lang w:val="sr-Latn-RS"/>
        </w:rPr>
        <w:t>amandmanu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Ustav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usvojen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1951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>).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Ovlašćenja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predsednika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SAD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su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sledeća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:</w:t>
      </w:r>
    </w:p>
    <w:p w:rsidR="00661C56" w:rsidRPr="00661C56" w:rsidRDefault="00661C56" w:rsidP="00661C56">
      <w:pPr>
        <w:spacing w:line="360" w:lineRule="auto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rhovni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komandant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oružanih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snaga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SAD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,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vrhovni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predstavnik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zemlje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međunarodn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odnosima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,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imenovanje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federalnih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sudija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uključujući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sudije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Vrhovnog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suda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ambasador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visok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zvanični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izvršne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vlasti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>,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sazivanje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vanredne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sednice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Kongresa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,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amnestija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lica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osuđen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ih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prema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saveznim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zakon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,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vanredn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ovlašćenja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kriznim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situacijama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unutrašnjim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spoljnim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,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form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ulisanje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zakonodavnog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programa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administracije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pisma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Kongresu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)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>,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podnošenje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Budžeta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Vlade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Kongresu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,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objavljivanje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predsedničkih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naredbi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imaju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snagu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zakona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td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Latn-RS" w:bidi="gu-IN"/>
        </w:rPr>
        <w:t>Zakonodavn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vlast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vrše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oba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doma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Kongresa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Senat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Predstavničk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Sudsk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vlast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vrše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Vrhovn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sud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niži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savezni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sudov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Osnovna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funkcija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pravosuđa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tumači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Ustav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Sjedinjenih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Američkih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Država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savezn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zakon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propis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Ovo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uključuje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rešavanje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sporova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između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izvršne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zakonodavne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vlasti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</w:p>
    <w:p w:rsidR="00661C56" w:rsidRPr="00661C56" w:rsidRDefault="00661C56" w:rsidP="00661C56">
      <w:pPr>
        <w:keepNext/>
        <w:keepLines/>
        <w:spacing w:before="480" w:after="0"/>
        <w:outlineLvl w:val="0"/>
        <w:rPr>
          <w:rFonts w:ascii="Arial" w:eastAsia="Times New Roman" w:hAnsi="Arial" w:cstheme="majorBidi"/>
          <w:b/>
          <w:bCs/>
          <w:sz w:val="20"/>
          <w:szCs w:val="28"/>
          <w:lang w:val="sr-Cyrl-RS" w:bidi="gu-IN"/>
        </w:rPr>
      </w:pPr>
      <w:bookmarkStart w:id="3" w:name="_Toc361837147"/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RADNA</w:t>
      </w:r>
      <w:r w:rsidRPr="00661C56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TELA</w:t>
      </w:r>
      <w:r w:rsidRPr="00661C56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KONGRESA</w:t>
      </w:r>
      <w:r w:rsidRPr="00661C56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NADLEŽNA</w:t>
      </w:r>
      <w:r w:rsidRPr="00661C56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ZA</w:t>
      </w:r>
      <w:r w:rsidRPr="00661C56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USVAJANjE</w:t>
      </w:r>
      <w:r w:rsidRPr="00661C56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BUD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Latn-RS"/>
        </w:rPr>
        <w:t>Ž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ETA</w:t>
      </w:r>
      <w:r w:rsidRPr="00661C56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VLADE</w:t>
      </w:r>
      <w:r w:rsidRPr="00661C56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SAD</w:t>
      </w:r>
      <w:bookmarkEnd w:id="3"/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br/>
      </w:r>
      <w:r>
        <w:rPr>
          <w:rFonts w:ascii="Arial" w:hAnsi="Arial" w:cs="Arial"/>
          <w:sz w:val="20"/>
          <w:szCs w:val="20"/>
          <w:lang w:val="sr-Latn-RS"/>
        </w:rPr>
        <w:t>Najviši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zakonodavn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dvodomni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parlament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Predstavnički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tačno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senatora</w:t>
      </w:r>
      <w:r w:rsidRPr="00661C56">
        <w:rPr>
          <w:rFonts w:ascii="Arial" w:hAnsi="Arial" w:cs="Arial"/>
          <w:sz w:val="20"/>
          <w:szCs w:val="20"/>
          <w:lang w:val="sr-Latn-RS"/>
        </w:rPr>
        <w:t>).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Predstavničkom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određuje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10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zavisnosti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stanovnika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-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Svaka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najmanje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bez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obzira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</w:t>
      </w:r>
      <w:r>
        <w:rPr>
          <w:rFonts w:ascii="Arial" w:hAnsi="Arial" w:cs="Arial"/>
          <w:sz w:val="20"/>
          <w:szCs w:val="20"/>
          <w:lang w:val="sr-Cyrl-RS"/>
        </w:rPr>
        <w:t>nik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Senatori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biraju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mandat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trajanju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šest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</w:t>
      </w:r>
      <w:r>
        <w:rPr>
          <w:rFonts w:ascii="Arial" w:hAnsi="Arial" w:cs="Arial"/>
          <w:sz w:val="20"/>
          <w:szCs w:val="20"/>
          <w:lang w:val="sr-Cyrl-RS"/>
        </w:rPr>
        <w:t>ci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biraju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svake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mandatom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trajanju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dve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senatori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predstavnici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ponovo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izabran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neograničen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puta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Odbor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ustanovljen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Senata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značajnu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ulogu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donošenja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sr-Cyrl-CS" w:eastAsia="ja-JP"/>
        </w:rPr>
      </w:pPr>
      <w:r>
        <w:rPr>
          <w:rFonts w:ascii="Arial" w:hAnsi="Arial" w:cs="Arial"/>
          <w:i/>
          <w:sz w:val="20"/>
          <w:szCs w:val="20"/>
          <w:lang w:val="sr-Cyrl-CS" w:eastAsia="ja-JP"/>
        </w:rPr>
        <w:t>GORNjI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 w:eastAsia="ja-JP"/>
        </w:rPr>
        <w:t>DOM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 (</w:t>
      </w:r>
      <w:r>
        <w:rPr>
          <w:rFonts w:ascii="Arial" w:hAnsi="Arial" w:cs="Arial"/>
          <w:i/>
          <w:sz w:val="20"/>
          <w:szCs w:val="20"/>
          <w:lang w:val="sr-Cyrl-CS" w:eastAsia="ja-JP"/>
        </w:rPr>
        <w:t>SENAT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) -  </w:t>
      </w:r>
      <w:r>
        <w:rPr>
          <w:rFonts w:ascii="Arial" w:hAnsi="Arial" w:cs="Arial"/>
          <w:i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 w:eastAsia="ja-JP"/>
        </w:rPr>
        <w:t>finansije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Zbog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složenosti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poslova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Senatu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postoji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20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68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pododbora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4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zajednička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Rad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uređen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Poslovnikom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ostavlja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mogućnost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usvoje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svoje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poslovnike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Ovoliki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broj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radnih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tela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rezultirao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različitim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delokrugom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tako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stalni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imaju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zakonodavne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nadležnosti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pododbori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razmatraju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određene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aspekte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rada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izabrani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zajednički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vrše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opšti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nadzor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finansije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stalno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radno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telo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Senata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predsednika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(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vladajuća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–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Demokratska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),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potpredsednika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(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Republikanska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)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ukupno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22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člana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(12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demokrata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10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republikanaca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).</w:t>
      </w:r>
      <w:r w:rsidRPr="00661C56">
        <w:rPr>
          <w:rFonts w:ascii="Arial" w:hAnsi="Arial" w:cs="Arial"/>
          <w:bCs/>
          <w:iCs/>
          <w:sz w:val="20"/>
          <w:szCs w:val="20"/>
          <w:vertAlign w:val="superscript"/>
          <w:lang w:val="sr-Cyrl-CS" w:eastAsia="ja-JP"/>
        </w:rPr>
        <w:footnoteReference w:id="1"/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Nadležnosti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finansije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odnose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pitanja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vezi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porezima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drugim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prihodima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dugom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SAD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carinom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finansijama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okruga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/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distrikta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graničnim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prelazima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recipročnim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trgovinskim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ugovorima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tarifama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uvoznim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kvotama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transportom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robe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podleže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carini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depozitom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opštim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rashodima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lastRenderedPageBreak/>
        <w:t>programom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zdravstvene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zaštite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obuhvaćenim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Zakonom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socijalnom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osiguranju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kao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drugim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pitanjima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iz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oblasti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zdravstvene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zaštite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finansiraju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iz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određenih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poreza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fondova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.</w:t>
      </w:r>
      <w:r w:rsidRPr="00661C56">
        <w:rPr>
          <w:rFonts w:ascii="Arial" w:hAnsi="Arial" w:cs="Arial"/>
          <w:bCs/>
          <w:iCs/>
          <w:sz w:val="20"/>
          <w:szCs w:val="20"/>
          <w:vertAlign w:val="superscript"/>
          <w:lang w:val="sr-Cyrl-CS" w:eastAsia="ja-JP"/>
        </w:rPr>
        <w:footnoteReference w:id="2"/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obzirom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nadležnosti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obuhvataju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veliki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broj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različitih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oblasti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finansije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ima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isključivu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ili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zajedničku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nadležnost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nad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aktivnostima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brojnih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agencija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kancelarija</w:t>
      </w:r>
      <w:r w:rsidRPr="00661C56">
        <w:rPr>
          <w:rFonts w:ascii="Arial" w:hAnsi="Arial" w:cs="Arial"/>
          <w:bCs/>
          <w:iCs/>
          <w:sz w:val="20"/>
          <w:szCs w:val="20"/>
          <w:lang w:val="sr-Latn-RS" w:eastAsia="ja-JP"/>
        </w:rPr>
        <w:t>.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svakim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novim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sazivom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formiraju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pododbori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trenutnom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113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sazivu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finansije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6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pododbora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razmatraju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određena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pitanja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skladu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delokrugom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: 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zdravstvena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zaštita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;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međunarodna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trgovina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carine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konkurentnost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;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energija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prirodni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resursi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infrastruktura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; 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socijalna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zaštita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penzije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politika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porodice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;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/>
          <w:iCs/>
          <w:sz w:val="20"/>
          <w:szCs w:val="20"/>
          <w:lang w:val="sr-Cyrl-CS" w:eastAsia="ja-JP"/>
        </w:rPr>
      </w:pP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oporezivanje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Uprava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prihoda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 w:rsidRPr="00661C56">
        <w:rPr>
          <w:rFonts w:ascii="Arial" w:hAnsi="Arial" w:cs="Arial"/>
          <w:bCs/>
          <w:i/>
          <w:iCs/>
          <w:sz w:val="20"/>
          <w:szCs w:val="20"/>
          <w:lang w:val="sr-Cyrl-CS" w:eastAsia="ja-JP"/>
        </w:rPr>
        <w:t>(Internal Revenue Service - IRS),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fiskalna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odgovornosti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ekonomski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rast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.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sr-Cyrl-CS" w:eastAsia="ja-JP"/>
        </w:rPr>
      </w:pPr>
      <w:r>
        <w:rPr>
          <w:rFonts w:ascii="Arial" w:hAnsi="Arial" w:cs="Arial"/>
          <w:i/>
          <w:sz w:val="20"/>
          <w:szCs w:val="20"/>
          <w:lang w:val="sr-Cyrl-CS" w:eastAsia="ja-JP"/>
        </w:rPr>
        <w:t>DONjI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 w:eastAsia="ja-JP"/>
        </w:rPr>
        <w:t>DOM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 (</w:t>
      </w:r>
      <w:r>
        <w:rPr>
          <w:rFonts w:ascii="Arial" w:hAnsi="Arial" w:cs="Arial"/>
          <w:i/>
          <w:sz w:val="20"/>
          <w:szCs w:val="20"/>
          <w:lang w:val="sr-Cyrl-RS" w:eastAsia="ja-JP"/>
        </w:rPr>
        <w:t>PREDSTAVNIČKI</w:t>
      </w:r>
      <w:r w:rsidRPr="00661C56">
        <w:rPr>
          <w:rFonts w:ascii="Arial" w:hAnsi="Arial" w:cs="Arial"/>
          <w:i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ja-JP"/>
        </w:rPr>
        <w:t>DOM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) - </w:t>
      </w:r>
      <w:r>
        <w:rPr>
          <w:rFonts w:ascii="Arial" w:hAnsi="Arial" w:cs="Arial"/>
          <w:i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i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 w:eastAsia="ja-JP"/>
        </w:rPr>
        <w:t>aproprijacije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Predstavničkom</w:t>
      </w:r>
      <w:r w:rsidRPr="00661C56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domu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postoji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20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stalnih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različite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zakonodavne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nadležnosti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razmatraju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zakone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predlažu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akte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nadgledaju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rad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agencija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sprovođenje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programa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aktivnosti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Rad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javno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dostupan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svaki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svoju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internet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stranicu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Takođe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svakoj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stranici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nalazi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veza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(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link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)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tzv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sajtu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manjine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(</w:t>
      </w:r>
      <w:r w:rsidRPr="00661C56">
        <w:rPr>
          <w:rFonts w:ascii="Arial" w:hAnsi="Arial" w:cs="Arial"/>
          <w:bCs/>
          <w:i/>
          <w:iCs/>
          <w:sz w:val="20"/>
          <w:szCs w:val="20"/>
          <w:lang w:eastAsia="ja-JP"/>
        </w:rPr>
        <w:t>Minority site</w:t>
      </w:r>
      <w:r w:rsidRPr="00661C56">
        <w:rPr>
          <w:rFonts w:ascii="Arial" w:hAnsi="Arial" w:cs="Arial"/>
          <w:bCs/>
          <w:i/>
          <w:iCs/>
          <w:sz w:val="20"/>
          <w:szCs w:val="20"/>
          <w:lang w:val="sr-Cyrl-CS" w:eastAsia="ja-JP"/>
        </w:rPr>
        <w:t>)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odnosno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stranici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stranke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parlamentarne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manjine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aktivnostima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odgovarajućeg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posmatranim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iz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ugla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stranke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Ovo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inače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praksa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oba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doma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aproprijacije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Predstavničkom</w:t>
      </w:r>
      <w:r w:rsidRPr="00661C56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domu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nije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izuzetak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njegovoj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internet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stranici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nalazi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link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sajtu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Demokratske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stranke</w:t>
      </w:r>
      <w:r w:rsidRPr="00661C56">
        <w:rPr>
          <w:rFonts w:ascii="Arial" w:hAnsi="Arial" w:cs="Arial"/>
          <w:bCs/>
          <w:i/>
          <w:iCs/>
          <w:sz w:val="20"/>
          <w:szCs w:val="20"/>
          <w:vertAlign w:val="superscript"/>
          <w:lang w:val="sr-Cyrl-CS" w:eastAsia="ja-JP"/>
        </w:rPr>
        <w:footnoteReference w:id="3"/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Predstavničkom</w:t>
      </w:r>
      <w:r w:rsidRPr="00661C56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domu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parlamentarne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manjine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(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razliku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Senata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).</w:t>
      </w:r>
      <w:r w:rsidRPr="00661C56">
        <w:rPr>
          <w:rFonts w:ascii="Arial" w:hAnsi="Arial" w:cs="Arial"/>
          <w:bCs/>
          <w:iCs/>
          <w:sz w:val="20"/>
          <w:szCs w:val="20"/>
          <w:vertAlign w:val="superscript"/>
          <w:lang w:val="sr-Cyrl-CS" w:eastAsia="ja-JP"/>
        </w:rPr>
        <w:footnoteReference w:id="4"/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aproprijacije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 w:rsidRPr="00661C56">
        <w:rPr>
          <w:rFonts w:ascii="Arial" w:hAnsi="Arial" w:cs="Arial"/>
          <w:bCs/>
          <w:i/>
          <w:iCs/>
          <w:sz w:val="20"/>
          <w:szCs w:val="20"/>
          <w:lang w:val="sr-Cyrl-CS" w:eastAsia="ja-JP"/>
        </w:rPr>
        <w:t>(Committee on Appropriations)</w:t>
      </w:r>
      <w:r w:rsidRPr="00661C56">
        <w:rPr>
          <w:rFonts w:ascii="Arial" w:hAnsi="Arial" w:cs="Arial"/>
          <w:bCs/>
          <w:iCs/>
          <w:sz w:val="20"/>
          <w:szCs w:val="20"/>
          <w:vertAlign w:val="superscript"/>
          <w:lang w:val="sr-Cyrl-CS" w:eastAsia="ja-JP"/>
        </w:rPr>
        <w:footnoteReference w:id="5"/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jeste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stalno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radno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telo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Predstavničkog</w:t>
      </w:r>
      <w:r w:rsidRPr="00661C56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51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člana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(29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Republikanska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+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predsednik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Demokratska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stranka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- 22).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Jedan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članova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ujedno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član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obaveštajne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poslove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doneo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svoj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Poslovnik</w:t>
      </w:r>
      <w:r w:rsidRPr="00661C56">
        <w:rPr>
          <w:rFonts w:ascii="Arial" w:hAnsi="Arial" w:cs="Arial"/>
          <w:bCs/>
          <w:iCs/>
          <w:sz w:val="20"/>
          <w:szCs w:val="20"/>
          <w:vertAlign w:val="superscript"/>
          <w:lang w:val="sr-Cyrl-CS" w:eastAsia="ja-JP"/>
        </w:rPr>
        <w:footnoteReference w:id="6"/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obrazovao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13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pododbora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Poslovniku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 xml:space="preserve"> </w:t>
      </w:r>
      <w:r w:rsidRPr="00661C56">
        <w:rPr>
          <w:rFonts w:ascii="Arial" w:hAnsi="Arial" w:cs="Arial"/>
          <w:bCs/>
          <w:iCs/>
          <w:sz w:val="20"/>
          <w:szCs w:val="20"/>
          <w:lang w:val="sr-Latn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Predstavničkog</w:t>
      </w:r>
      <w:r w:rsidRPr="00661C56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široka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budžetska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ovlašćenja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sprovode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kroz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: </w:t>
      </w:r>
      <w:r w:rsidRPr="00661C56">
        <w:rPr>
          <w:rFonts w:ascii="Arial" w:hAnsi="Arial" w:cs="Arial"/>
          <w:bCs/>
          <w:iCs/>
          <w:sz w:val="20"/>
          <w:szCs w:val="20"/>
          <w:vertAlign w:val="superscript"/>
          <w:lang w:val="sr-Cyrl-CS" w:eastAsia="ja-JP"/>
        </w:rPr>
        <w:footnoteReference w:id="7"/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odobravanje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prihoda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državne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potrebe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;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lastRenderedPageBreak/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smanjenje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prihoda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skladu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zakonima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;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raspodelu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dodatnih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prihoda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.</w:t>
      </w: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</w:p>
    <w:p w:rsidR="00661C56" w:rsidRPr="00661C56" w:rsidRDefault="00661C56" w:rsidP="0066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delu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odnosi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dodatne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nadležnosti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Poslovnik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takođe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predvideo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aproprijacije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treba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održi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slušanje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Predlogu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zakona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budžetu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roku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30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dana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nakon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upućivanja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Kongres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prilikom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posebna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pažnja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usmerena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budžetsku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politiku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preporuke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sadržane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govoru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predsednika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SAD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kao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predlagača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ali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odnos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očekivanih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troškova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predviđenih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sredstva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Na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slušanju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takođe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govore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sekretar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Trezora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direktor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Kancelarije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upravu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budžet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predsednik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</w:t>
      </w:r>
      <w:r>
        <w:rPr>
          <w:rFonts w:ascii="Arial" w:hAnsi="Arial" w:cs="Arial"/>
          <w:bCs/>
          <w:iCs/>
          <w:sz w:val="20"/>
          <w:szCs w:val="20"/>
          <w:lang w:val="sr-Latn-RS" w:eastAsia="ja-JP"/>
        </w:rPr>
        <w:t>a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veta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ekonomskih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savetnika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druga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lica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koja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pozove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Ovu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vrstu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slušanje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mogu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zajedno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organizovati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odbori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za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aproprijacije</w:t>
      </w:r>
      <w:r w:rsidRPr="00661C56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Predstavničkog</w:t>
      </w:r>
      <w:r w:rsidRPr="00661C56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doma</w:t>
      </w:r>
      <w:r w:rsidRPr="00661C56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Senata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uz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učešće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i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drugih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radnih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CS" w:eastAsia="ja-JP"/>
        </w:rPr>
        <w:t>tela</w:t>
      </w:r>
      <w:r w:rsidRPr="00661C56">
        <w:rPr>
          <w:rFonts w:ascii="Arial" w:hAnsi="Arial" w:cs="Arial"/>
          <w:bCs/>
          <w:iCs/>
          <w:sz w:val="20"/>
          <w:szCs w:val="20"/>
          <w:lang w:val="sr-Cyrl-CS" w:eastAsia="ja-JP"/>
        </w:rPr>
        <w:t>.</w:t>
      </w:r>
    </w:p>
    <w:p w:rsidR="00661C56" w:rsidRPr="00661C56" w:rsidRDefault="00661C56" w:rsidP="00661C56">
      <w:pPr>
        <w:keepNext/>
        <w:keepLines/>
        <w:spacing w:before="480" w:after="0"/>
        <w:outlineLvl w:val="0"/>
        <w:rPr>
          <w:rFonts w:ascii="Arial" w:eastAsiaTheme="majorEastAsia" w:hAnsi="Arial" w:cstheme="majorBidi"/>
          <w:b/>
          <w:bCs/>
          <w:sz w:val="20"/>
          <w:szCs w:val="28"/>
        </w:rPr>
      </w:pPr>
      <w:bookmarkStart w:id="4" w:name="_Toc361837148"/>
      <w:r>
        <w:rPr>
          <w:rFonts w:ascii="Arial" w:eastAsiaTheme="majorEastAsia" w:hAnsi="Arial" w:cstheme="majorBidi"/>
          <w:b/>
          <w:bCs/>
          <w:sz w:val="20"/>
          <w:szCs w:val="28"/>
        </w:rPr>
        <w:t>BUDŽETSKI</w:t>
      </w:r>
      <w:r w:rsidRPr="00661C56">
        <w:rPr>
          <w:rFonts w:ascii="Arial" w:eastAsiaTheme="majorEastAsia" w:hAnsi="Arial" w:cstheme="majorBidi"/>
          <w:b/>
          <w:bCs/>
          <w:sz w:val="20"/>
          <w:szCs w:val="28"/>
        </w:rPr>
        <w:t xml:space="preserve"> </w:t>
      </w:r>
      <w:r>
        <w:rPr>
          <w:rFonts w:ascii="Arial" w:eastAsiaTheme="majorEastAsia" w:hAnsi="Arial" w:cstheme="majorBidi"/>
          <w:b/>
          <w:bCs/>
          <w:sz w:val="20"/>
          <w:szCs w:val="28"/>
        </w:rPr>
        <w:t>PROCES</w:t>
      </w:r>
      <w:bookmarkEnd w:id="4"/>
    </w:p>
    <w:p w:rsidR="00661C56" w:rsidRPr="00661C56" w:rsidRDefault="00661C56" w:rsidP="00661C56">
      <w:pPr>
        <w:rPr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Budžetski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proces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primenjuje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 formulisanje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 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Sjedinjenim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Američkim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osniva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računovodstvu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(Budget and Accounting Act)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>1921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661C56">
        <w:rPr>
          <w:rFonts w:ascii="Arial" w:hAnsi="Arial" w:cs="Arial"/>
          <w:sz w:val="20"/>
          <w:szCs w:val="20"/>
        </w:rPr>
        <w:t>Congressional Budget</w:t>
      </w:r>
      <w:r>
        <w:rPr>
          <w:rFonts w:ascii="Arial" w:hAnsi="Arial" w:cs="Arial"/>
          <w:sz w:val="20"/>
          <w:szCs w:val="20"/>
        </w:rPr>
        <w:t xml:space="preserve"> </w:t>
      </w:r>
      <w:r w:rsidRPr="00661C56">
        <w:rPr>
          <w:rFonts w:ascii="Arial" w:hAnsi="Arial" w:cs="Arial"/>
          <w:sz w:val="20"/>
          <w:szCs w:val="20"/>
        </w:rPr>
        <w:t xml:space="preserve"> and Impoundment Control Act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1974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zakonima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Latn-RS"/>
        </w:rPr>
        <w:br/>
      </w:r>
      <w:r w:rsidRPr="00661C56">
        <w:rPr>
          <w:rFonts w:ascii="Arial" w:hAnsi="Arial" w:cs="Arial"/>
          <w:sz w:val="20"/>
          <w:szCs w:val="20"/>
          <w:lang w:val="sr-Latn-RS"/>
        </w:rPr>
        <w:br/>
      </w:r>
      <w:r>
        <w:rPr>
          <w:rFonts w:ascii="Arial" w:hAnsi="Arial" w:cs="Arial"/>
          <w:sz w:val="20"/>
          <w:szCs w:val="20"/>
          <w:lang w:val="sr-Latn-RS"/>
        </w:rPr>
        <w:t>Pre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1974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formalnu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proceduru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uspostavljanje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koherentnog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usvojio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formalnih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sredst</w:t>
      </w:r>
      <w:r>
        <w:rPr>
          <w:rFonts w:ascii="Arial" w:hAnsi="Arial" w:cs="Arial"/>
          <w:sz w:val="20"/>
          <w:szCs w:val="20"/>
          <w:lang w:val="sr-Cyrl-RS"/>
        </w:rPr>
        <w:t>ava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suprotstavio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</w:t>
      </w:r>
      <w:r>
        <w:rPr>
          <w:rFonts w:ascii="Arial" w:hAnsi="Arial" w:cs="Arial"/>
          <w:sz w:val="20"/>
          <w:szCs w:val="20"/>
          <w:lang w:val="sr-Latn-RS"/>
        </w:rPr>
        <w:t>ovoizabran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redsednik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Ričard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Nikson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počeo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odbij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troši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sredstva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opredelio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1974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osnovana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Kancelarija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>(</w:t>
      </w:r>
      <w:r w:rsidRPr="00661C56">
        <w:rPr>
          <w:rFonts w:ascii="Arial" w:hAnsi="Arial" w:cs="Arial"/>
          <w:sz w:val="20"/>
          <w:szCs w:val="20"/>
        </w:rPr>
        <w:t>Congressional Budget Office -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</w:rPr>
        <w:t>CBO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dobila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pogledu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kontrole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</w:t>
      </w:r>
      <w:r>
        <w:rPr>
          <w:rFonts w:ascii="Arial" w:hAnsi="Arial" w:cs="Arial"/>
          <w:sz w:val="20"/>
          <w:szCs w:val="20"/>
          <w:lang w:val="sr-Latn-RS"/>
        </w:rPr>
        <w:t>ancelarij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upravljanje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hyperlink r:id="rId12" w:tooltip="Office of Management and Budget" w:history="1">
        <w:r w:rsidRPr="00661C56">
          <w:rPr>
            <w:rFonts w:ascii="Arial" w:hAnsi="Arial" w:cs="Arial"/>
            <w:sz w:val="20"/>
            <w:szCs w:val="20"/>
          </w:rPr>
          <w:t>Office of Management and Budget</w:t>
        </w:r>
      </w:hyperlink>
      <w:r w:rsidRPr="00661C56">
        <w:rPr>
          <w:rFonts w:ascii="Arial" w:hAnsi="Arial" w:cs="Arial"/>
          <w:sz w:val="20"/>
          <w:szCs w:val="20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661C56">
        <w:rPr>
          <w:rFonts w:ascii="Arial" w:hAnsi="Arial" w:cs="Arial"/>
          <w:sz w:val="20"/>
          <w:szCs w:val="20"/>
        </w:rPr>
        <w:t>OMB).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Predsednik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skladu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računovodstvu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1921, </w:t>
      </w:r>
      <w:r>
        <w:rPr>
          <w:rFonts w:ascii="Arial" w:hAnsi="Arial" w:cs="Arial"/>
          <w:sz w:val="20"/>
          <w:szCs w:val="20"/>
          <w:lang w:val="sr-Latn-RS"/>
        </w:rPr>
        <w:t>mora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dostavi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sadašnjem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obliku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savezn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zakonodavstv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(31 U.S.C. 1105 (a)) </w:t>
      </w:r>
      <w:r>
        <w:rPr>
          <w:rFonts w:ascii="Arial" w:hAnsi="Arial" w:cs="Arial"/>
          <w:sz w:val="20"/>
          <w:szCs w:val="20"/>
          <w:lang w:val="sr-Latn-RS"/>
        </w:rPr>
        <w:t>navodi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redsednik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podn</w:t>
      </w:r>
      <w:r>
        <w:rPr>
          <w:rFonts w:ascii="Arial" w:hAnsi="Arial" w:cs="Arial"/>
          <w:sz w:val="20"/>
          <w:szCs w:val="20"/>
          <w:lang w:val="sr-Cyrl-RS"/>
        </w:rPr>
        <w:t>osi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između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prvog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ponedeljka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januaru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prvog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ponedeljka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februaru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vreme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Predsednik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podnosi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nazivom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Vlade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prvoj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nedelji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februara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Predsednikov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</w:t>
      </w:r>
      <w:r>
        <w:rPr>
          <w:rFonts w:ascii="Arial" w:hAnsi="Arial" w:cs="Arial"/>
          <w:sz w:val="20"/>
          <w:szCs w:val="20"/>
          <w:lang w:val="sr-Latn-RS"/>
        </w:rPr>
        <w:t>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zajedno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pratećom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dokumentacijom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istorijski</w:t>
      </w:r>
      <w:r>
        <w:rPr>
          <w:rFonts w:ascii="Arial" w:hAnsi="Arial" w:cs="Arial"/>
          <w:sz w:val="20"/>
          <w:szCs w:val="20"/>
          <w:lang w:val="sr-Cyrl-RS"/>
        </w:rPr>
        <w:t>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budžetski</w:t>
      </w:r>
      <w:r>
        <w:rPr>
          <w:rFonts w:ascii="Arial" w:hAnsi="Arial" w:cs="Arial"/>
          <w:sz w:val="20"/>
          <w:szCs w:val="20"/>
          <w:lang w:val="sr-Cyrl-RS"/>
        </w:rPr>
        <w:t>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poda</w:t>
      </w:r>
      <w:r>
        <w:rPr>
          <w:rFonts w:ascii="Arial" w:hAnsi="Arial" w:cs="Arial"/>
          <w:sz w:val="20"/>
          <w:szCs w:val="20"/>
          <w:lang w:val="sr-Cyrl-RS"/>
        </w:rPr>
        <w:t>cim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naći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sajtu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Kancelariji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upravljanje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Predsednikov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</w:t>
      </w:r>
      <w:r>
        <w:rPr>
          <w:rFonts w:ascii="Arial" w:hAnsi="Arial" w:cs="Arial"/>
          <w:sz w:val="20"/>
          <w:szCs w:val="20"/>
          <w:lang w:val="sr-Latn-RS"/>
        </w:rPr>
        <w:t>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sadrži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detaljne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informacije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predlozima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prihod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predlog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inicijativa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značajnim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implikacijama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Svake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martu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Kongresn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</w:t>
      </w:r>
      <w:r>
        <w:rPr>
          <w:rFonts w:ascii="Arial" w:hAnsi="Arial" w:cs="Arial"/>
          <w:sz w:val="20"/>
          <w:szCs w:val="20"/>
          <w:lang w:val="sr-Latn-RS"/>
        </w:rPr>
        <w:t>ancelarija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objavljuje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analizu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Izveštaj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Kongresn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</w:t>
      </w:r>
      <w:r>
        <w:rPr>
          <w:rFonts w:ascii="Arial" w:hAnsi="Arial" w:cs="Arial"/>
          <w:sz w:val="20"/>
          <w:szCs w:val="20"/>
          <w:lang w:val="sr-Latn-RS"/>
        </w:rPr>
        <w:t>ancelarij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publikacije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naći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sajtu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kancelarije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</w:t>
      </w:r>
      <w:r>
        <w:rPr>
          <w:rFonts w:ascii="Arial" w:hAnsi="Arial" w:cs="Arial"/>
          <w:sz w:val="20"/>
          <w:szCs w:val="20"/>
          <w:lang w:val="sr-Latn-RS"/>
        </w:rPr>
        <w:t>ancelarija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izračunava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projekciju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pokazatelja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661C56">
        <w:rPr>
          <w:rFonts w:ascii="Arial" w:hAnsi="Arial" w:cs="Arial"/>
          <w:sz w:val="20"/>
          <w:szCs w:val="20"/>
          <w:lang w:val="sr-Cyrl-RS"/>
        </w:rPr>
        <w:t>(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a </w:t>
      </w:r>
      <w:r w:rsidRPr="00661C56">
        <w:rPr>
          <w:rFonts w:ascii="Arial" w:hAnsi="Arial" w:cs="Arial"/>
          <w:sz w:val="20"/>
          <w:szCs w:val="20"/>
          <w:lang w:val="sr-Latn-RS"/>
        </w:rPr>
        <w:lastRenderedPageBreak/>
        <w:t>current-law baseline budget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kakvi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federalni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rashodi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prihodi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odsustvu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tekuću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narednih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deset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Kongresn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</w:t>
      </w:r>
      <w:r>
        <w:rPr>
          <w:rFonts w:ascii="Arial" w:hAnsi="Arial" w:cs="Arial"/>
          <w:sz w:val="20"/>
          <w:szCs w:val="20"/>
          <w:lang w:val="sr-Latn-RS"/>
        </w:rPr>
        <w:t>ancelarija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izračunava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pokazatelje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tekuće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politike</w:t>
      </w:r>
      <w:r w:rsidRPr="00661C56">
        <w:rPr>
          <w:rFonts w:ascii="Arial" w:hAnsi="Arial" w:cs="Arial"/>
          <w:sz w:val="20"/>
          <w:szCs w:val="20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>(</w:t>
      </w:r>
      <w:r w:rsidRPr="00661C56">
        <w:rPr>
          <w:rFonts w:ascii="Arial" w:hAnsi="Arial" w:cs="Arial"/>
          <w:sz w:val="20"/>
          <w:szCs w:val="20"/>
          <w:lang w:val="sr-Latn-RS"/>
        </w:rPr>
        <w:t>current-policy baseline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primer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čin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polaznu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pretpostavke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glasa</w:t>
      </w:r>
      <w:r>
        <w:rPr>
          <w:rFonts w:ascii="Arial" w:hAnsi="Arial" w:cs="Arial"/>
          <w:sz w:val="20"/>
          <w:szCs w:val="20"/>
          <w:lang w:val="sr-Cyrl-RS"/>
        </w:rPr>
        <w:t>nju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poreskim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propisima</w:t>
      </w:r>
      <w:r w:rsidRPr="00661C56">
        <w:rPr>
          <w:rFonts w:ascii="Arial" w:hAnsi="Arial" w:cs="Arial"/>
          <w:sz w:val="20"/>
          <w:szCs w:val="20"/>
          <w:lang w:val="sr-Cyrl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Odbori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Predstavničk</w:t>
      </w:r>
      <w:r>
        <w:rPr>
          <w:rFonts w:ascii="Arial" w:hAnsi="Arial" w:cs="Arial"/>
          <w:sz w:val="20"/>
          <w:szCs w:val="20"/>
          <w:lang w:val="sr-Cyrl-RS"/>
        </w:rPr>
        <w:t>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poč</w:t>
      </w:r>
      <w:r>
        <w:rPr>
          <w:rFonts w:ascii="Arial" w:hAnsi="Arial" w:cs="Arial"/>
          <w:sz w:val="20"/>
          <w:szCs w:val="20"/>
          <w:lang w:val="sr-Cyrl-RS"/>
        </w:rPr>
        <w:t>inju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razmatranje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februaru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martu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Latn-RS"/>
        </w:rPr>
        <w:t>stali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odbori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donošenje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podn</w:t>
      </w:r>
      <w:r>
        <w:rPr>
          <w:rFonts w:ascii="Arial" w:hAnsi="Arial" w:cs="Arial"/>
          <w:sz w:val="20"/>
          <w:szCs w:val="20"/>
          <w:lang w:val="sr-Cyrl-RS"/>
        </w:rPr>
        <w:t>ose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zahteve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</w:t>
      </w:r>
      <w:r>
        <w:rPr>
          <w:rFonts w:ascii="Arial" w:hAnsi="Arial" w:cs="Arial"/>
          <w:sz w:val="20"/>
          <w:szCs w:val="20"/>
          <w:lang w:val="sr-Cyrl-RS"/>
        </w:rPr>
        <w:t>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odborima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</w:t>
      </w:r>
      <w:r>
        <w:rPr>
          <w:rFonts w:ascii="Arial" w:hAnsi="Arial" w:cs="Arial"/>
          <w:sz w:val="20"/>
          <w:szCs w:val="20"/>
          <w:lang w:val="sr-Cyrl-RS"/>
        </w:rPr>
        <w:t>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vreme</w:t>
      </w:r>
      <w:r>
        <w:rPr>
          <w:rFonts w:ascii="Arial" w:hAnsi="Arial" w:cs="Arial"/>
          <w:sz w:val="20"/>
          <w:szCs w:val="20"/>
          <w:lang w:val="sr-Cyrl-RS"/>
        </w:rPr>
        <w:t>nu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Svaki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sz w:val="20"/>
          <w:szCs w:val="20"/>
          <w:lang w:val="sr-Latn-RS"/>
        </w:rPr>
        <w:t>aprila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odvojeno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razm</w:t>
      </w:r>
      <w:r>
        <w:rPr>
          <w:rFonts w:ascii="Arial" w:hAnsi="Arial" w:cs="Arial"/>
          <w:sz w:val="20"/>
          <w:szCs w:val="20"/>
          <w:lang w:val="sr-Cyrl-RS"/>
        </w:rPr>
        <w:t>atraju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očekuje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možda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izmenama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15. </w:t>
      </w:r>
      <w:r>
        <w:rPr>
          <w:rFonts w:ascii="Arial" w:hAnsi="Arial" w:cs="Arial"/>
          <w:sz w:val="20"/>
          <w:szCs w:val="20"/>
          <w:lang w:val="sr-Latn-RS"/>
        </w:rPr>
        <w:t>aprila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K</w:t>
      </w:r>
      <w:r>
        <w:rPr>
          <w:rFonts w:ascii="Arial" w:hAnsi="Arial" w:cs="Arial"/>
          <w:sz w:val="20"/>
          <w:szCs w:val="20"/>
          <w:lang w:val="sr-Latn-RS"/>
        </w:rPr>
        <w:t>ada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izabrani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predstavnici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senatori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pregovara</w:t>
      </w:r>
      <w:r>
        <w:rPr>
          <w:rFonts w:ascii="Arial" w:hAnsi="Arial" w:cs="Arial"/>
          <w:sz w:val="20"/>
          <w:szCs w:val="20"/>
          <w:lang w:val="sr-Cyrl-RS"/>
        </w:rPr>
        <w:t>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konferencijskom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usaglasile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verzije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Izveštaj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konferencije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posta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obavezujući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mora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odobren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Predstavničkog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odre</w:t>
      </w:r>
      <w:r>
        <w:rPr>
          <w:rFonts w:ascii="Arial" w:hAnsi="Arial" w:cs="Arial"/>
          <w:sz w:val="20"/>
          <w:szCs w:val="20"/>
          <w:lang w:val="sr-Cyrl-RS"/>
        </w:rPr>
        <w:t>đuje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izdvajanja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finansiranje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odbora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pododbora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uspostavljanje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izdvajanja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ukupne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vrednosti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prava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</w:t>
      </w:r>
      <w:r>
        <w:rPr>
          <w:rFonts w:ascii="Arial" w:hAnsi="Arial" w:cs="Arial"/>
          <w:sz w:val="20"/>
          <w:szCs w:val="20"/>
          <w:lang w:val="sr-Cyrl-RS"/>
        </w:rPr>
        <w:t>že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sadrž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uputstva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usklađivanje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određen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Latn-RS"/>
        </w:rPr>
        <w:t>dbori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nadležn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odobravanje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donose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političke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odluke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Latn-RS"/>
        </w:rPr>
        <w:t>dbor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odlučuj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>,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ograničen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sredstvima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mada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iznos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bilo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iznos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predviđenog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</w:t>
      </w:r>
      <w:r>
        <w:rPr>
          <w:rFonts w:ascii="Arial" w:hAnsi="Arial" w:cs="Arial"/>
          <w:sz w:val="20"/>
          <w:szCs w:val="20"/>
          <w:lang w:val="sr-Latn-RS"/>
        </w:rPr>
        <w:t>udžet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služi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aktuel</w:t>
      </w:r>
      <w:r>
        <w:rPr>
          <w:rFonts w:ascii="Arial" w:hAnsi="Arial" w:cs="Arial"/>
          <w:sz w:val="20"/>
          <w:szCs w:val="20"/>
          <w:lang w:val="sr-Cyrl-RS"/>
        </w:rPr>
        <w:t>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proces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pruža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kontrolu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procesom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izdvajanja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Latn-RS"/>
        </w:rPr>
        <w:t>dbori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zajedno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formulišu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raspodele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sredstava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</w:t>
      </w:r>
      <w:r>
        <w:rPr>
          <w:rFonts w:ascii="Arial" w:hAnsi="Arial" w:cs="Arial"/>
          <w:sz w:val="20"/>
          <w:szCs w:val="20"/>
          <w:lang w:val="sr-Cyrl-RS"/>
        </w:rPr>
        <w:t>že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razmatrati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</w:t>
      </w:r>
      <w:r>
        <w:rPr>
          <w:rFonts w:ascii="Arial" w:hAnsi="Arial" w:cs="Arial"/>
          <w:sz w:val="20"/>
          <w:szCs w:val="20"/>
          <w:lang w:val="sr-Latn-RS"/>
        </w:rPr>
        <w:t>omu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15. </w:t>
      </w:r>
      <w:r>
        <w:rPr>
          <w:rFonts w:ascii="Arial" w:hAnsi="Arial" w:cs="Arial"/>
          <w:sz w:val="20"/>
          <w:szCs w:val="20"/>
          <w:lang w:val="sr-Latn-RS"/>
        </w:rPr>
        <w:t>maja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Kada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Latn-RS"/>
        </w:rPr>
        <w:t>dbori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predloge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Predstavničk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Kada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završna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verzija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potrošnja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raspolaganju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narednu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obično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navodi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zajedničkoj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izjavi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uključen</w:t>
      </w:r>
      <w:r>
        <w:rPr>
          <w:rFonts w:ascii="Arial" w:hAnsi="Arial" w:cs="Arial"/>
          <w:sz w:val="20"/>
          <w:szCs w:val="20"/>
          <w:lang w:val="sr-Cyrl-RS"/>
        </w:rPr>
        <w:t>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izveštaj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konferencije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Latn-RS"/>
        </w:rPr>
        <w:t>dbori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zatim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raspoređuju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iznos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među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svojim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pododbor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raspodelili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sredstva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programima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okviru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svojih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nadležnosti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Kao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dvodomnih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parlamenata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zajednički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konferencijski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odbor</w:t>
      </w:r>
      <w:r w:rsidRPr="00661C56">
        <w:rPr>
          <w:rFonts w:ascii="Arial" w:hAnsi="Arial" w:cs="Arial"/>
          <w:sz w:val="20"/>
          <w:szCs w:val="20"/>
          <w:lang w:val="en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>(</w:t>
      </w:r>
      <w:r w:rsidRPr="00661C56">
        <w:rPr>
          <w:rFonts w:ascii="Arial" w:hAnsi="Arial" w:cs="Arial"/>
          <w:sz w:val="20"/>
          <w:szCs w:val="20"/>
          <w:lang w:val="en"/>
        </w:rPr>
        <w:t>conference committee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potreb</w:t>
      </w:r>
      <w:r>
        <w:rPr>
          <w:rFonts w:ascii="Arial" w:hAnsi="Arial" w:cs="Arial"/>
          <w:sz w:val="20"/>
          <w:szCs w:val="20"/>
          <w:lang w:val="sr-Cyrl-RS"/>
        </w:rPr>
        <w:t>an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reš</w:t>
      </w:r>
      <w:r>
        <w:rPr>
          <w:rFonts w:ascii="Arial" w:hAnsi="Arial" w:cs="Arial"/>
          <w:sz w:val="20"/>
          <w:szCs w:val="20"/>
          <w:lang w:val="sr-Cyrl-RS"/>
        </w:rPr>
        <w:t>ila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neslaganja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između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661C56">
        <w:rPr>
          <w:rFonts w:ascii="Arial" w:hAnsi="Arial" w:cs="Arial"/>
          <w:sz w:val="20"/>
          <w:szCs w:val="20"/>
          <w:lang w:val="sr-Cyrl-RS"/>
        </w:rPr>
        <w:t>.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usvoje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>pućuje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redsednik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potpiše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vet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Ako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potpiše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postaje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Inače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predlog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izbeg</w:t>
      </w:r>
      <w:r>
        <w:rPr>
          <w:rFonts w:ascii="Arial" w:hAnsi="Arial" w:cs="Arial"/>
          <w:sz w:val="20"/>
          <w:szCs w:val="20"/>
          <w:lang w:val="sr-Cyrl-RS"/>
        </w:rPr>
        <w:t>ao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gašenje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bar</w:t>
      </w:r>
      <w:r>
        <w:rPr>
          <w:rFonts w:ascii="Arial" w:hAnsi="Arial" w:cs="Arial"/>
          <w:sz w:val="20"/>
          <w:szCs w:val="20"/>
          <w:lang w:val="sr-Cyrl-RS"/>
        </w:rPr>
        <w:t>em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</w:t>
      </w:r>
      <w:r>
        <w:rPr>
          <w:rFonts w:ascii="Arial" w:hAnsi="Arial" w:cs="Arial"/>
          <w:sz w:val="20"/>
          <w:szCs w:val="20"/>
          <w:lang w:val="sr-Cyrl-RS"/>
        </w:rPr>
        <w:t>la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>
        <w:rPr>
          <w:rFonts w:ascii="Arial" w:hAnsi="Arial" w:cs="Arial"/>
          <w:sz w:val="20"/>
          <w:szCs w:val="20"/>
          <w:lang w:val="sr-Latn-RS"/>
        </w:rPr>
        <w:t>avezne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vlade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Latn-RS"/>
        </w:rPr>
        <w:br/>
      </w:r>
      <w:r w:rsidRPr="00661C56">
        <w:rPr>
          <w:rFonts w:ascii="Arial" w:hAnsi="Arial" w:cs="Arial"/>
          <w:sz w:val="20"/>
          <w:szCs w:val="20"/>
          <w:lang w:val="sr-Latn-RS"/>
        </w:rPr>
        <w:br/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poslednjih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nekoliko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uspevao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izdvajanjima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aproprijacijama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početka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don</w:t>
      </w:r>
      <w:r>
        <w:rPr>
          <w:rFonts w:ascii="Arial" w:hAnsi="Arial" w:cs="Arial"/>
          <w:sz w:val="20"/>
          <w:szCs w:val="20"/>
          <w:lang w:val="sr-Cyrl-RS"/>
        </w:rPr>
        <w:t>osio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kontinuiranom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finansiranju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omogućavaju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privremeno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finansiranje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vladinih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aktivnosti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lastRenderedPageBreak/>
        <w:t>Svaka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funkcija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okviru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sadrži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"</w:t>
      </w:r>
      <w:r>
        <w:rPr>
          <w:rFonts w:ascii="Arial" w:hAnsi="Arial" w:cs="Arial"/>
          <w:sz w:val="20"/>
          <w:szCs w:val="20"/>
          <w:lang w:val="sr-Cyrl-RS"/>
        </w:rPr>
        <w:t>nadležni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"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"</w:t>
      </w:r>
      <w:r>
        <w:rPr>
          <w:rFonts w:ascii="Arial" w:hAnsi="Arial" w:cs="Arial"/>
          <w:sz w:val="20"/>
          <w:szCs w:val="20"/>
          <w:lang w:val="sr-Cyrl-RS"/>
        </w:rPr>
        <w:t>rashode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"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spadaju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široke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kategorije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diskrecione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direktne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Diskrecione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zahteva</w:t>
      </w:r>
      <w:r>
        <w:rPr>
          <w:rFonts w:ascii="Arial" w:hAnsi="Arial" w:cs="Arial"/>
          <w:sz w:val="20"/>
          <w:szCs w:val="20"/>
          <w:lang w:val="sr-Cyrl-RS"/>
        </w:rPr>
        <w:t>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godišnji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račun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Diskrecione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obično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određuj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Poslaničkog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pododbori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Pošto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reč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obično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smatra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diskreciono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Neki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aproprijacije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višegodišnje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aproprijacije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često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koriste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stambene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vojn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nabavk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T</w:t>
      </w:r>
      <w:r>
        <w:rPr>
          <w:rFonts w:ascii="Arial" w:hAnsi="Arial" w:cs="Arial"/>
          <w:sz w:val="20"/>
          <w:szCs w:val="20"/>
          <w:lang w:val="sr-Latn-RS"/>
        </w:rPr>
        <w:t>renutno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12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račun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moraju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donesu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nastav</w:t>
      </w:r>
      <w:r>
        <w:rPr>
          <w:rFonts w:ascii="Arial" w:hAnsi="Arial" w:cs="Arial"/>
          <w:sz w:val="20"/>
          <w:szCs w:val="20"/>
          <w:lang w:val="sr-Cyrl-RS"/>
        </w:rPr>
        <w:t>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diskrecione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</w:t>
      </w:r>
      <w:r>
        <w:rPr>
          <w:rFonts w:ascii="Arial" w:hAnsi="Arial" w:cs="Arial"/>
          <w:sz w:val="20"/>
          <w:szCs w:val="20"/>
          <w:lang w:val="sr-Cyrl-RS"/>
        </w:rPr>
        <w:t>rošnje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Predmet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računa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rashoda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izdataka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odgovara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jurisdikcij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relevantnog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pododbora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>2012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godini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dvanaest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račun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rashoda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izdataka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treba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usvojen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: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Poljoprivred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ruraln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razvoj</w:t>
      </w:r>
      <w:r w:rsidRPr="00661C56">
        <w:rPr>
          <w:rFonts w:ascii="Arial" w:hAnsi="Arial" w:cs="Arial"/>
          <w:sz w:val="20"/>
          <w:szCs w:val="20"/>
          <w:lang w:val="sr-Latn-RS"/>
        </w:rPr>
        <w:t>,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</w:t>
      </w:r>
      <w:r>
        <w:rPr>
          <w:rFonts w:ascii="Arial" w:hAnsi="Arial" w:cs="Arial"/>
          <w:sz w:val="20"/>
          <w:szCs w:val="20"/>
          <w:lang w:val="sr-Latn-RS"/>
        </w:rPr>
        <w:t>ran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lekov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Trgovina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pravosuđe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nauka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Odbrana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Energetika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vodoprivreda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Finansijske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Savezna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uključujući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pravosuđe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kabinet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Distrikt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Kolumbija</w:t>
      </w:r>
      <w:r w:rsidRPr="00661C56">
        <w:rPr>
          <w:rFonts w:ascii="Arial" w:hAnsi="Arial" w:cs="Arial"/>
          <w:sz w:val="20"/>
          <w:szCs w:val="20"/>
          <w:lang w:val="sr-Cyrl-RS"/>
        </w:rPr>
        <w:t>);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Unutrašnja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bezbednost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Životna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sredina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Rad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zdravstvo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ljudski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resursi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obrazovanje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Zakonodavna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Vojno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građevinarstvo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veterani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Inostrani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661C56" w:rsidRPr="00661C56" w:rsidRDefault="00661C56" w:rsidP="00661C56">
      <w:pPr>
        <w:numPr>
          <w:ilvl w:val="0"/>
          <w:numId w:val="2"/>
        </w:numPr>
        <w:spacing w:after="0" w:line="240" w:lineRule="auto"/>
        <w:rPr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Saobraćaj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stanovanje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urbani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661C56">
        <w:rPr>
          <w:rFonts w:ascii="Arial" w:hAnsi="Arial" w:cs="Arial"/>
          <w:sz w:val="20"/>
          <w:szCs w:val="20"/>
          <w:lang w:val="sr-Latn-RS"/>
        </w:rPr>
        <w:br/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Direktn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potrošnje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poznat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obavez</w:t>
      </w:r>
      <w:r>
        <w:rPr>
          <w:rFonts w:ascii="Arial" w:hAnsi="Arial" w:cs="Arial"/>
          <w:sz w:val="20"/>
          <w:szCs w:val="20"/>
          <w:lang w:val="sr-Cyrl-RS"/>
        </w:rPr>
        <w:t>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izdaci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odnos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izdatke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utvrđene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ali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zavise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godišnjeg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periodičnog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računa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Većina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direktne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sastoji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transferni</w:t>
      </w:r>
      <w:r>
        <w:rPr>
          <w:rFonts w:ascii="Arial" w:hAnsi="Arial" w:cs="Arial"/>
          <w:sz w:val="20"/>
          <w:szCs w:val="20"/>
          <w:lang w:val="sr-Cyrl-RS"/>
        </w:rPr>
        <w:t>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plaćanja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beneficija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izdaci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osiguranj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Mnogi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federalnih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sudija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obavezni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ali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relativno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mali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udeo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federalne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potrošnje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</w:t>
      </w:r>
      <w:r>
        <w:rPr>
          <w:rFonts w:ascii="Arial" w:hAnsi="Arial" w:cs="Arial"/>
          <w:sz w:val="20"/>
          <w:szCs w:val="20"/>
          <w:lang w:val="sr-Latn-RS"/>
        </w:rPr>
        <w:t>ancelarija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procenjuje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direktnog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redovnoj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osnovi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utiče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direktnu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promenom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sticanje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odnosno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promenom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strukture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programa</w:t>
      </w:r>
      <w:r w:rsidRPr="00661C56">
        <w:rPr>
          <w:rFonts w:ascii="Arial" w:hAnsi="Arial" w:cs="Arial"/>
          <w:sz w:val="20"/>
          <w:szCs w:val="20"/>
          <w:lang w:val="sr-Cyrl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Fiskalna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Savezne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vlade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12 </w:t>
      </w:r>
      <w:r>
        <w:rPr>
          <w:rFonts w:ascii="Arial" w:hAnsi="Arial" w:cs="Arial"/>
          <w:sz w:val="20"/>
          <w:szCs w:val="20"/>
          <w:lang w:val="sr-Latn-RS"/>
        </w:rPr>
        <w:t>meseci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počinju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sz w:val="20"/>
          <w:szCs w:val="20"/>
          <w:lang w:val="sr-Latn-RS"/>
        </w:rPr>
        <w:t>oktobra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završava</w:t>
      </w:r>
      <w:r>
        <w:rPr>
          <w:rFonts w:ascii="Arial" w:hAnsi="Arial" w:cs="Arial"/>
          <w:sz w:val="20"/>
          <w:szCs w:val="20"/>
          <w:lang w:val="sr-Cyrl-RS"/>
        </w:rPr>
        <w:t>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30. </w:t>
      </w:r>
      <w:r>
        <w:rPr>
          <w:rFonts w:ascii="Arial" w:hAnsi="Arial" w:cs="Arial"/>
          <w:sz w:val="20"/>
          <w:szCs w:val="20"/>
          <w:lang w:val="sr-Latn-RS"/>
        </w:rPr>
        <w:t>septembra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naredne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kalendarske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Identifikacija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kalendarska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završava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tako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fiskalna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20</w:t>
      </w:r>
      <w:r w:rsidRPr="00661C56">
        <w:rPr>
          <w:rFonts w:ascii="Arial" w:hAnsi="Arial" w:cs="Arial"/>
          <w:sz w:val="20"/>
          <w:szCs w:val="20"/>
          <w:lang w:val="sr-Cyrl-RS"/>
        </w:rPr>
        <w:t>14.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skraćeno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FI</w:t>
      </w:r>
      <w:r w:rsidRPr="00661C56">
        <w:rPr>
          <w:rFonts w:ascii="Arial" w:hAnsi="Arial" w:cs="Arial"/>
          <w:sz w:val="20"/>
          <w:szCs w:val="20"/>
          <w:lang w:val="sr-Latn-RS"/>
        </w:rPr>
        <w:t>20</w:t>
      </w:r>
      <w:r w:rsidRPr="00661C56">
        <w:rPr>
          <w:rFonts w:ascii="Arial" w:hAnsi="Arial" w:cs="Arial"/>
          <w:sz w:val="20"/>
          <w:szCs w:val="20"/>
          <w:lang w:val="sr-Cyrl-RS"/>
        </w:rPr>
        <w:t>14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poč</w:t>
      </w:r>
      <w:r>
        <w:rPr>
          <w:rFonts w:ascii="Arial" w:hAnsi="Arial" w:cs="Arial"/>
          <w:sz w:val="20"/>
          <w:szCs w:val="20"/>
          <w:lang w:val="sr-Cyrl-RS"/>
        </w:rPr>
        <w:t>inje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1. </w:t>
      </w:r>
      <w:r>
        <w:rPr>
          <w:rFonts w:ascii="Arial" w:hAnsi="Arial" w:cs="Arial"/>
          <w:sz w:val="20"/>
          <w:szCs w:val="20"/>
          <w:lang w:val="sr-Latn-RS"/>
        </w:rPr>
        <w:t>oktobra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20</w:t>
      </w:r>
      <w:r w:rsidRPr="00661C56">
        <w:rPr>
          <w:rFonts w:ascii="Arial" w:hAnsi="Arial" w:cs="Arial"/>
          <w:sz w:val="20"/>
          <w:szCs w:val="20"/>
          <w:lang w:val="sr-Cyrl-RS"/>
        </w:rPr>
        <w:t>13.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završi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30. </w:t>
      </w:r>
      <w:r>
        <w:rPr>
          <w:rFonts w:ascii="Arial" w:hAnsi="Arial" w:cs="Arial"/>
          <w:sz w:val="20"/>
          <w:szCs w:val="20"/>
          <w:lang w:val="sr-Latn-RS"/>
        </w:rPr>
        <w:t>septembra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20</w:t>
      </w:r>
      <w:r w:rsidRPr="00661C56">
        <w:rPr>
          <w:rFonts w:ascii="Arial" w:hAnsi="Arial" w:cs="Arial"/>
          <w:sz w:val="20"/>
          <w:szCs w:val="20"/>
          <w:lang w:val="sr-Cyrl-RS"/>
        </w:rPr>
        <w:t>14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Budžetski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kalendar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načelno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sledeći</w:t>
      </w:r>
      <w:r w:rsidRPr="00661C56">
        <w:rPr>
          <w:rFonts w:ascii="Arial" w:hAnsi="Arial" w:cs="Arial"/>
          <w:sz w:val="20"/>
          <w:szCs w:val="20"/>
          <w:vertAlign w:val="superscript"/>
          <w:lang w:val="sr-Cyrl-RS"/>
        </w:rPr>
        <w:footnoteReference w:id="8"/>
      </w:r>
      <w:r w:rsidRPr="00661C56">
        <w:rPr>
          <w:rFonts w:ascii="Arial" w:hAnsi="Arial" w:cs="Arial"/>
          <w:sz w:val="20"/>
          <w:szCs w:val="20"/>
          <w:lang w:val="sr-Cyrl-RS"/>
        </w:rPr>
        <w:t>: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lastRenderedPageBreak/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Oktobar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(2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početka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fisklane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novembra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februara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naredne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kalendarske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pojedine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agencije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tela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)  </w:t>
      </w:r>
      <w:r>
        <w:rPr>
          <w:rFonts w:ascii="Arial" w:hAnsi="Arial" w:cs="Arial"/>
          <w:sz w:val="20"/>
          <w:szCs w:val="20"/>
          <w:lang w:val="sr-Cyrl-RS"/>
        </w:rPr>
        <w:t>počenju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planiraju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fisklanu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661C56">
        <w:rPr>
          <w:rFonts w:ascii="Arial" w:hAnsi="Arial" w:cs="Arial"/>
          <w:sz w:val="20"/>
          <w:szCs w:val="20"/>
          <w:lang w:val="sr-Cyrl-RS"/>
        </w:rPr>
        <w:t>;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Mart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maj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: </w:t>
      </w:r>
      <w:r>
        <w:rPr>
          <w:rFonts w:ascii="Arial" w:hAnsi="Arial" w:cs="Arial"/>
          <w:sz w:val="20"/>
          <w:szCs w:val="20"/>
          <w:lang w:val="sr-Cyrl-RS"/>
        </w:rPr>
        <w:t>agencije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upravljanje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formulisanja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strategije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odgovara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prioritetima</w:t>
      </w:r>
      <w:r w:rsidRPr="00661C56">
        <w:rPr>
          <w:rFonts w:ascii="Arial" w:hAnsi="Arial" w:cs="Arial"/>
          <w:sz w:val="20"/>
          <w:szCs w:val="20"/>
          <w:lang w:val="sr-Cyrl-RS"/>
        </w:rPr>
        <w:t>;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Jun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avgust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Agencije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dostavljaju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upravljanje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>;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Septembar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oktobar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početka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fiskalne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novembar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januar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naredne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kalendarske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): </w:t>
      </w:r>
      <w:r>
        <w:rPr>
          <w:rFonts w:ascii="Arial" w:hAnsi="Arial" w:cs="Arial"/>
          <w:sz w:val="20"/>
          <w:szCs w:val="20"/>
          <w:lang w:val="sr-Cyrl-RS"/>
        </w:rPr>
        <w:t>agencije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pregovaraju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upravljanje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januaru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finaliziraju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uključuju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>;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Februar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:  </w:t>
      </w:r>
      <w:r>
        <w:rPr>
          <w:rFonts w:ascii="Arial" w:hAnsi="Arial" w:cs="Arial"/>
          <w:sz w:val="20"/>
          <w:szCs w:val="20"/>
          <w:lang w:val="sr-Cyrl-RS"/>
        </w:rPr>
        <w:t>Predsednik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dostavlja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primljen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Kongresu</w:t>
      </w:r>
      <w:r w:rsidRPr="00661C56">
        <w:rPr>
          <w:rFonts w:ascii="Arial" w:hAnsi="Arial" w:cs="Arial"/>
          <w:sz w:val="20"/>
          <w:szCs w:val="20"/>
          <w:lang w:val="sr-Cyrl-RS"/>
        </w:rPr>
        <w:t>; (</w:t>
      </w:r>
      <w:r>
        <w:rPr>
          <w:rFonts w:ascii="Arial" w:hAnsi="Arial" w:cs="Arial"/>
          <w:sz w:val="20"/>
          <w:szCs w:val="20"/>
          <w:lang w:val="sr-Cyrl-RS"/>
        </w:rPr>
        <w:t>kolokvijalno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koristi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naziv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Predsednikov</w:t>
      </w:r>
      <w:r w:rsidRPr="00661C5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Predsednikov</w:t>
      </w:r>
      <w:r w:rsidRPr="00661C56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formalno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koristi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naziv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Vlade</w:t>
      </w:r>
      <w:r w:rsidRPr="00661C56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SAD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Mart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april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(6 </w:t>
      </w:r>
      <w:r>
        <w:rPr>
          <w:rFonts w:ascii="Arial" w:hAnsi="Arial" w:cs="Arial"/>
          <w:sz w:val="20"/>
          <w:szCs w:val="20"/>
          <w:lang w:val="sr-Cyrl-RS"/>
        </w:rPr>
        <w:t>meseci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početka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fiskalne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maj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: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raspodelom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razmatran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domu</w:t>
      </w:r>
      <w:r w:rsidRPr="00661C56">
        <w:rPr>
          <w:rFonts w:ascii="Arial" w:hAnsi="Arial" w:cs="Arial"/>
          <w:sz w:val="20"/>
          <w:szCs w:val="20"/>
        </w:rPr>
        <w:t>, 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procedura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Senata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istovremeno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formulisanju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celokupnog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funkcijama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raspodele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potrošnje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  <w:lang w:val="sr-Cyrl-RS"/>
        </w:rPr>
        <w:t>ko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predlozi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Senat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razlikuju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zajednički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konferencijski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661C56">
        <w:rPr>
          <w:rFonts w:ascii="Arial" w:hAnsi="Arial" w:cs="Arial"/>
          <w:sz w:val="20"/>
          <w:szCs w:val="20"/>
        </w:rPr>
        <w:t>conference committee)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pregovara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razlikama</w:t>
      </w:r>
      <w:r w:rsidRPr="00661C56">
        <w:rPr>
          <w:rFonts w:ascii="Arial" w:hAnsi="Arial" w:cs="Arial"/>
          <w:sz w:val="20"/>
          <w:szCs w:val="20"/>
          <w:lang w:val="sr-Cyrl-RS"/>
        </w:rPr>
        <w:t>;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Jun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septembar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: </w:t>
      </w:r>
      <w:r>
        <w:rPr>
          <w:rFonts w:ascii="Arial" w:hAnsi="Arial" w:cs="Arial"/>
          <w:sz w:val="20"/>
          <w:szCs w:val="20"/>
          <w:lang w:val="sr-Cyrl-RS"/>
        </w:rPr>
        <w:t>Odbori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Senata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ponovo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istovremeno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definisanju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pojedine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agencije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administracije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aktivan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pododbora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pojedine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krajnji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raspodele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sredstava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razlikuje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zajednički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konferencijski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661C56">
        <w:rPr>
          <w:rFonts w:ascii="Arial" w:hAnsi="Arial" w:cs="Arial"/>
          <w:sz w:val="20"/>
          <w:szCs w:val="20"/>
        </w:rPr>
        <w:t>conference committee)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ponovo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pregovara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razlikama</w:t>
      </w:r>
      <w:r w:rsidRPr="00661C56">
        <w:rPr>
          <w:rFonts w:ascii="Arial" w:hAnsi="Arial" w:cs="Arial"/>
          <w:sz w:val="20"/>
          <w:szCs w:val="20"/>
          <w:lang w:val="sr-Cyrl-RS"/>
        </w:rPr>
        <w:t>;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Oktobar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nova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fiskalna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počinje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1. </w:t>
      </w:r>
      <w:r>
        <w:rPr>
          <w:rFonts w:ascii="Arial" w:hAnsi="Arial" w:cs="Arial"/>
          <w:sz w:val="20"/>
          <w:szCs w:val="20"/>
          <w:lang w:val="sr-Cyrl-RS"/>
        </w:rPr>
        <w:t>oktobra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) : 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upućuje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potpisivanje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treba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1. </w:t>
      </w:r>
      <w:r>
        <w:rPr>
          <w:rFonts w:ascii="Arial" w:hAnsi="Arial" w:cs="Arial"/>
          <w:sz w:val="20"/>
          <w:szCs w:val="20"/>
          <w:lang w:val="sr-Cyrl-RS"/>
        </w:rPr>
        <w:t>oktobra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početka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fiskalne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mada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retko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događa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češće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kontinuiranom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finansiranju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661C56">
        <w:rPr>
          <w:rFonts w:ascii="Arial" w:hAnsi="Arial" w:cs="Arial"/>
          <w:sz w:val="20"/>
          <w:szCs w:val="20"/>
        </w:rPr>
        <w:t>continuing resolution - CR)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Savezne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>;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raspodeljena</w:t>
      </w:r>
      <w:r w:rsidRPr="00661C56">
        <w:rPr>
          <w:rFonts w:ascii="Arial" w:hAnsi="Arial" w:cs="Arial"/>
          <w:sz w:val="20"/>
          <w:szCs w:val="20"/>
          <w:lang w:val="sr-Cyrl-RS"/>
        </w:rPr>
        <w:t>.</w:t>
      </w:r>
    </w:p>
    <w:p w:rsidR="00661C56" w:rsidRPr="00661C56" w:rsidRDefault="00661C56" w:rsidP="00661C56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sz w:val="20"/>
          <w:szCs w:val="20"/>
          <w:lang w:val="sr-Cyrl-RS"/>
        </w:rPr>
      </w:pPr>
      <w:bookmarkStart w:id="5" w:name="_Toc361837149"/>
      <w:r>
        <w:rPr>
          <w:rFonts w:ascii="Arial" w:eastAsiaTheme="majorEastAsia" w:hAnsi="Arial" w:cs="Arial"/>
          <w:b/>
          <w:bCs/>
          <w:sz w:val="20"/>
          <w:szCs w:val="20"/>
          <w:lang w:val="sr-Cyrl-RS"/>
        </w:rPr>
        <w:t>KONGRESNA</w:t>
      </w:r>
      <w:r w:rsidRPr="00661C56">
        <w:rPr>
          <w:rFonts w:ascii="Arial" w:eastAsiaTheme="majorEastAsia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sr-Cyrl-RS"/>
        </w:rPr>
        <w:t>KANCELARIJA</w:t>
      </w:r>
      <w:r w:rsidRPr="00661C56">
        <w:rPr>
          <w:rFonts w:ascii="Arial" w:eastAsiaTheme="majorEastAsia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sr-Cyrl-RS"/>
        </w:rPr>
        <w:t>ZA</w:t>
      </w:r>
      <w:r w:rsidRPr="00661C56">
        <w:rPr>
          <w:rFonts w:ascii="Arial" w:eastAsiaTheme="majorEastAsia" w:hAnsi="Arial" w:cs="Arial"/>
          <w:b/>
          <w:bCs/>
          <w:sz w:val="20"/>
          <w:szCs w:val="20"/>
          <w:lang w:val="sr-Cyrl-RS"/>
        </w:rPr>
        <w:t xml:space="preserve"> </w:t>
      </w:r>
      <w:r w:rsidR="007A266A">
        <w:rPr>
          <w:rFonts w:ascii="Arial" w:eastAsiaTheme="majorEastAsia" w:hAnsi="Arial" w:cs="Arial"/>
          <w:b/>
          <w:bCs/>
          <w:sz w:val="20"/>
          <w:szCs w:val="20"/>
          <w:lang w:val="sr-Cyrl-RS"/>
        </w:rPr>
        <w:t>BUD</w:t>
      </w:r>
      <w:r w:rsidR="007A266A">
        <w:rPr>
          <w:rFonts w:ascii="Arial" w:eastAsiaTheme="majorEastAsia" w:hAnsi="Arial" w:cs="Arial"/>
          <w:b/>
          <w:bCs/>
          <w:sz w:val="20"/>
          <w:szCs w:val="20"/>
          <w:lang w:val="sr-Latn-RS"/>
        </w:rPr>
        <w:t>Ž</w:t>
      </w:r>
      <w:r>
        <w:rPr>
          <w:rFonts w:ascii="Arial" w:eastAsiaTheme="majorEastAsia" w:hAnsi="Arial" w:cs="Arial"/>
          <w:b/>
          <w:bCs/>
          <w:sz w:val="20"/>
          <w:szCs w:val="20"/>
          <w:lang w:val="sr-Cyrl-RS"/>
        </w:rPr>
        <w:t>ET</w:t>
      </w:r>
      <w:bookmarkEnd w:id="5"/>
    </w:p>
    <w:p w:rsidR="00661C56" w:rsidRPr="00661C56" w:rsidRDefault="00661C56" w:rsidP="00661C56">
      <w:pPr>
        <w:rPr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</w:rPr>
        <w:t xml:space="preserve"> (Congressional Budget Office -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</w:rPr>
        <w:t>CBO)</w:t>
      </w:r>
      <w:r w:rsidRPr="00661C56">
        <w:rPr>
          <w:rFonts w:ascii="Arial" w:hAnsi="Arial" w:cs="Arial"/>
          <w:sz w:val="20"/>
          <w:szCs w:val="20"/>
          <w:vertAlign w:val="superscript"/>
        </w:rPr>
        <w:footnoteReference w:id="9"/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savezna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agencija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okviru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zakonodavn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pruža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podatke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osnovana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nezavisna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nestranačkog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agencij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lastRenderedPageBreak/>
        <w:t>(</w:t>
      </w:r>
      <w:r w:rsidRPr="00661C56">
        <w:rPr>
          <w:rFonts w:ascii="Arial" w:hAnsi="Arial" w:cs="Arial"/>
          <w:sz w:val="20"/>
          <w:szCs w:val="20"/>
        </w:rPr>
        <w:t>Congressional Budget and Impoundment Control Act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1974.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dogovor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Predstavničkog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rukovodstva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Član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202 (</w:t>
      </w:r>
      <w:r>
        <w:rPr>
          <w:rFonts w:ascii="Arial" w:hAnsi="Arial" w:cs="Arial"/>
          <w:sz w:val="20"/>
          <w:szCs w:val="20"/>
          <w:lang w:val="sr-Latn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Zakona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navodi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odborima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Predstavničko</w:t>
      </w:r>
      <w:r>
        <w:rPr>
          <w:rFonts w:ascii="Arial" w:hAnsi="Arial" w:cs="Arial"/>
          <w:sz w:val="20"/>
          <w:szCs w:val="20"/>
          <w:lang w:val="sr-Cyrl-RS"/>
        </w:rPr>
        <w:t>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periodičn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dostavlja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izveštaj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politici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izrađuje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projekcije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federalnog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Ovo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trenutno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vrši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putem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pripreme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godišnj</w:t>
      </w:r>
      <w:r>
        <w:rPr>
          <w:rFonts w:ascii="Arial" w:hAnsi="Arial" w:cs="Arial"/>
          <w:sz w:val="20"/>
          <w:szCs w:val="20"/>
          <w:lang w:val="sr-Cyrl-RS"/>
        </w:rPr>
        <w:t>aka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>''</w:t>
      </w:r>
      <w:r>
        <w:rPr>
          <w:rFonts w:ascii="Arial" w:hAnsi="Arial" w:cs="Arial"/>
          <w:sz w:val="20"/>
          <w:szCs w:val="20"/>
          <w:lang w:val="sr-Cyrl-RS"/>
        </w:rPr>
        <w:t>B</w:t>
      </w:r>
      <w:r>
        <w:rPr>
          <w:rFonts w:ascii="Arial" w:hAnsi="Arial" w:cs="Arial"/>
          <w:sz w:val="20"/>
          <w:szCs w:val="20"/>
          <w:lang w:val="sr-Latn-RS"/>
        </w:rPr>
        <w:t>udžet</w:t>
      </w:r>
      <w:r>
        <w:rPr>
          <w:rFonts w:ascii="Arial" w:hAnsi="Arial" w:cs="Arial"/>
          <w:sz w:val="20"/>
          <w:szCs w:val="20"/>
          <w:lang w:val="sr-Cyrl-RS"/>
        </w:rPr>
        <w:t>ske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perspektiv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'' (''Budget and Economic Outlook'') </w:t>
      </w:r>
      <w:r w:rsidRPr="00661C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sredinom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ažurira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Agencija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>
        <w:rPr>
          <w:rFonts w:ascii="Arial" w:hAnsi="Arial" w:cs="Arial"/>
          <w:sz w:val="20"/>
          <w:szCs w:val="20"/>
          <w:lang w:val="sr-Cyrl-RS"/>
        </w:rPr>
        <w:t>rađuje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analizu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narednu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stalnim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Senatovog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aproprijacij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Preds</w:t>
      </w:r>
      <w:r>
        <w:rPr>
          <w:rFonts w:ascii="Arial" w:hAnsi="Arial" w:cs="Arial"/>
          <w:sz w:val="20"/>
          <w:szCs w:val="20"/>
          <w:lang w:val="sr-Cyrl-RS"/>
        </w:rPr>
        <w:t>ednik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Predstavničkog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redsednik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Senata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zajedno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imenuju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</w:t>
      </w:r>
      <w:r>
        <w:rPr>
          <w:rFonts w:ascii="Arial" w:hAnsi="Arial" w:cs="Arial"/>
          <w:sz w:val="20"/>
          <w:szCs w:val="20"/>
          <w:lang w:val="sr-Latn-RS"/>
        </w:rPr>
        <w:t>irektora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nakon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razmatranja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preporuk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Mandat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direktora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četiri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bez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ograničenja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reizbora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razreši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direktora</w:t>
      </w:r>
      <w:r w:rsidRPr="00661C56">
        <w:rPr>
          <w:rFonts w:ascii="Arial" w:hAnsi="Arial" w:cs="Arial"/>
          <w:sz w:val="20"/>
          <w:szCs w:val="20"/>
          <w:lang w:val="sr-Cyrl-RS"/>
        </w:rPr>
        <w:t>.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isteku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mandata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osoba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direktor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nastavi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mandat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položaju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imenovanja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direktora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izrađuje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izveštaja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najpoznatiji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godišnjak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>''</w:t>
      </w:r>
      <w:r>
        <w:rPr>
          <w:rFonts w:ascii="Arial" w:hAnsi="Arial" w:cs="Arial"/>
          <w:sz w:val="20"/>
          <w:szCs w:val="20"/>
          <w:lang w:val="sr-Cyrl-RS"/>
        </w:rPr>
        <w:t>B</w:t>
      </w:r>
      <w:r>
        <w:rPr>
          <w:rFonts w:ascii="Arial" w:hAnsi="Arial" w:cs="Arial"/>
          <w:sz w:val="20"/>
          <w:szCs w:val="20"/>
          <w:lang w:val="sr-Latn-RS"/>
        </w:rPr>
        <w:t>udžet</w:t>
      </w:r>
      <w:r>
        <w:rPr>
          <w:rFonts w:ascii="Arial" w:hAnsi="Arial" w:cs="Arial"/>
          <w:sz w:val="20"/>
          <w:szCs w:val="20"/>
          <w:lang w:val="sr-Cyrl-RS"/>
        </w:rPr>
        <w:t>ske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perspektiv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>''</w:t>
      </w:r>
      <w:r w:rsidRPr="00661C56">
        <w:rPr>
          <w:rFonts w:ascii="Arial" w:hAnsi="Arial" w:cs="Arial"/>
          <w:sz w:val="20"/>
          <w:szCs w:val="20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(''Budget and Economic Outlook''). </w:t>
      </w:r>
      <w:r>
        <w:rPr>
          <w:rFonts w:ascii="Arial" w:hAnsi="Arial" w:cs="Arial"/>
          <w:sz w:val="20"/>
          <w:szCs w:val="20"/>
          <w:lang w:val="sr-Latn-RS"/>
        </w:rPr>
        <w:t>Pored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toga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 </w:t>
      </w: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obavez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izvrši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formalnu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skoro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</w:t>
      </w:r>
      <w:r>
        <w:rPr>
          <w:rFonts w:ascii="Arial" w:hAnsi="Arial" w:cs="Arial"/>
          <w:sz w:val="20"/>
          <w:szCs w:val="20"/>
          <w:lang w:val="sr-Latn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prihvaćen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izveštajem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odbora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Kongresa</w:t>
      </w:r>
      <w:r w:rsidRPr="00661C56">
        <w:rPr>
          <w:rFonts w:ascii="Arial" w:hAnsi="Arial" w:cs="Arial"/>
          <w:sz w:val="20"/>
          <w:szCs w:val="20"/>
          <w:lang w:val="sr-Latn-RS"/>
        </w:rPr>
        <w:t>,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jedini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izuzeci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predlozi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izdvajanjima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661C56">
        <w:rPr>
          <w:rFonts w:ascii="Arial" w:hAnsi="Arial" w:cs="Arial"/>
          <w:sz w:val="20"/>
          <w:szCs w:val="20"/>
        </w:rPr>
        <w:t>appropriation bills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dobijaju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formalnu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pruža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informacije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uticaju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raspodelu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Latn-RS"/>
        </w:rPr>
        <w:t>dborima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aproprijaciju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formalne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fazama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zakonodavnog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ako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zahteva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nadležnog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odbora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rukovodstva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Pored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toga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neformalne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mnogo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</w:t>
      </w:r>
      <w:r>
        <w:rPr>
          <w:rFonts w:ascii="Arial" w:hAnsi="Arial" w:cs="Arial"/>
          <w:sz w:val="20"/>
          <w:szCs w:val="20"/>
          <w:lang w:val="sr-Cyrl-RS"/>
        </w:rPr>
        <w:t>nskih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predloga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izrade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zakonodavstva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Latn-RS" w:bidi="gu-IN"/>
        </w:rPr>
        <w:t>Pored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svojih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redovnih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izveštaja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procene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troškova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 </w:t>
      </w: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priprema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analitičk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izveštaj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zahtev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rukovodstva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ili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predsedni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Kongresa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ili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članova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manjinskih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parlamentarnih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grupa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odbor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pododbor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Njeni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analitičari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rade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zahtevu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članovima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parlamenta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njihov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osoblje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cilju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boljeg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razume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vanja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obim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prirod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posla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ako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bi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doprineli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uspešnijem</w:t>
      </w:r>
      <w:r w:rsidRPr="00661C56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radu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Kongres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661C56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>
        <w:rPr>
          <w:rFonts w:ascii="Arial" w:hAnsi="Arial" w:cs="Arial"/>
          <w:sz w:val="20"/>
          <w:szCs w:val="20"/>
          <w:lang w:val="sr-Cyrl-RS"/>
        </w:rPr>
        <w:t>radi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projekcije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polazi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postojeć</w:t>
      </w:r>
      <w:r>
        <w:rPr>
          <w:rFonts w:ascii="Arial" w:hAnsi="Arial" w:cs="Arial"/>
          <w:sz w:val="20"/>
          <w:szCs w:val="20"/>
          <w:lang w:val="sr-Cyrl-RS"/>
        </w:rPr>
        <w:t>eg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>
        <w:rPr>
          <w:rFonts w:ascii="Arial" w:hAnsi="Arial" w:cs="Arial"/>
          <w:sz w:val="20"/>
          <w:szCs w:val="20"/>
          <w:lang w:val="sr-Cyrl-RS"/>
        </w:rPr>
        <w:t>skog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okvira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pokušava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predvidi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moguće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>
        <w:rPr>
          <w:rFonts w:ascii="Arial" w:hAnsi="Arial" w:cs="Arial"/>
          <w:sz w:val="20"/>
          <w:szCs w:val="20"/>
          <w:lang w:val="sr-Latn-RS"/>
        </w:rPr>
        <w:t>mene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</w:t>
      </w:r>
      <w:r>
        <w:rPr>
          <w:rFonts w:ascii="Arial" w:hAnsi="Arial" w:cs="Arial"/>
          <w:sz w:val="20"/>
          <w:szCs w:val="20"/>
          <w:lang w:val="sr-Latn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eventualno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Kada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razmatra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važećih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</w:t>
      </w:r>
      <w:r>
        <w:rPr>
          <w:rFonts w:ascii="Arial" w:hAnsi="Arial" w:cs="Arial"/>
          <w:sz w:val="20"/>
          <w:szCs w:val="20"/>
          <w:lang w:val="sr-Latn-RS"/>
        </w:rPr>
        <w:t>akona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predviđa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Međutim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pored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svojih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projekcija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odražavaju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trenutn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redovno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prikazuje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efekte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usvajanja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alternativn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raspravlja</w:t>
      </w:r>
      <w:r>
        <w:rPr>
          <w:rFonts w:ascii="Arial" w:hAnsi="Arial" w:cs="Arial"/>
          <w:sz w:val="20"/>
          <w:szCs w:val="20"/>
          <w:lang w:val="sr-Cyrl-RS"/>
        </w:rPr>
        <w:t>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uticaj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alternativnih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jas</w:t>
      </w:r>
      <w:r>
        <w:rPr>
          <w:rFonts w:ascii="Arial" w:hAnsi="Arial" w:cs="Arial"/>
          <w:sz w:val="20"/>
          <w:szCs w:val="20"/>
          <w:lang w:val="sr-Cyrl-RS"/>
        </w:rPr>
        <w:t>an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oslanja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informacije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izvora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Veliki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ključn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informacij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potiče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vladinih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statističkih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agencija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Takvi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podaci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obuhvataju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nacionaln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doho</w:t>
      </w:r>
      <w:r>
        <w:rPr>
          <w:rFonts w:ascii="Arial" w:hAnsi="Arial" w:cs="Arial"/>
          <w:sz w:val="20"/>
          <w:szCs w:val="20"/>
          <w:lang w:val="sr-Cyrl-RS"/>
        </w:rPr>
        <w:t>dak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izveštaj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stanj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cen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statistik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prihoda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podatke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troškovi</w:t>
      </w:r>
      <w:r>
        <w:rPr>
          <w:rFonts w:ascii="Arial" w:hAnsi="Arial" w:cs="Arial"/>
          <w:sz w:val="20"/>
          <w:szCs w:val="20"/>
          <w:lang w:val="sr-Cyrl-RS"/>
        </w:rPr>
        <w:t>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itd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 </w:t>
      </w: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podatke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informacije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putem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kontakata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svojih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analitičara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saveznim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organima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državnim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vlastima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industrijskim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grupama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toga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sarađuje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nizom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uglednih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stručnjaka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uključujući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profesore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univerziteta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analitičar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privatnog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privrednog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ekspert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vladinim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agencijama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</w:t>
      </w:r>
      <w:r>
        <w:rPr>
          <w:rFonts w:ascii="Arial" w:hAnsi="Arial" w:cs="Arial"/>
          <w:sz w:val="20"/>
          <w:szCs w:val="20"/>
          <w:lang w:val="sr-Latn-RS"/>
        </w:rPr>
        <w:t>eferentn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projekcije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zasnivaju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pretpostavci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važeći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regulišu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prihod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rashod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uglavnom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ostati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nepromenjeni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prognoze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pokrivaju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niz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ekonomski</w:t>
      </w:r>
      <w:r>
        <w:rPr>
          <w:rFonts w:ascii="Arial" w:hAnsi="Arial" w:cs="Arial"/>
          <w:sz w:val="20"/>
          <w:szCs w:val="20"/>
          <w:lang w:val="sr-Cyrl-RS"/>
        </w:rPr>
        <w:t>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varijabl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Latn-RS"/>
        </w:rPr>
        <w:t>bruto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domać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proizvod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nezaposlenost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inflaciju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kamatne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zajedno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velikim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brojem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mera</w:t>
      </w:r>
      <w:r w:rsidRPr="00661C56">
        <w:rPr>
          <w:rFonts w:ascii="Arial" w:hAnsi="Arial" w:cs="Arial"/>
          <w:sz w:val="20"/>
          <w:szCs w:val="20"/>
          <w:lang w:val="sr-Cyrl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Kongresna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procenjuje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uticaj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predloga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sopstvenih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prognoz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nezavisna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oceni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omogućava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uporedi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administracije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predloge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prihoda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svojim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projekcij</w:t>
      </w:r>
      <w:r>
        <w:rPr>
          <w:rFonts w:ascii="Arial" w:hAnsi="Arial" w:cs="Arial"/>
          <w:sz w:val="20"/>
          <w:szCs w:val="20"/>
          <w:lang w:val="sr-Cyrl-RS"/>
        </w:rPr>
        <w:t>ama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prihoda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rashoda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predlozima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</w:t>
      </w:r>
      <w:r>
        <w:rPr>
          <w:rFonts w:ascii="Arial" w:hAnsi="Arial" w:cs="Arial"/>
          <w:sz w:val="20"/>
          <w:szCs w:val="20"/>
          <w:lang w:val="sr-Cyrl-RS"/>
        </w:rPr>
        <w:t>teći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dosledan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skup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tehničkih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pretpostavki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Predsednikovog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jednom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godišnje</w:t>
      </w:r>
      <w:r w:rsidRPr="00661C56">
        <w:rPr>
          <w:rFonts w:ascii="Arial" w:hAnsi="Arial" w:cs="Arial"/>
          <w:sz w:val="20"/>
          <w:szCs w:val="20"/>
          <w:lang w:val="sr-Cyrl-RS"/>
        </w:rPr>
        <w:t>,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obično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martu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zatim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aprilu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analiz</w:t>
      </w:r>
      <w:r>
        <w:rPr>
          <w:rFonts w:ascii="Arial" w:hAnsi="Arial" w:cs="Arial"/>
          <w:sz w:val="20"/>
          <w:szCs w:val="20"/>
          <w:lang w:val="sr-Cyrl-RS"/>
        </w:rPr>
        <w:t>ira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uticaj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redsednikov</w:t>
      </w:r>
      <w:r>
        <w:rPr>
          <w:rFonts w:ascii="Arial" w:hAnsi="Arial" w:cs="Arial"/>
          <w:sz w:val="20"/>
          <w:szCs w:val="20"/>
          <w:lang w:val="sr-Cyrl-RS"/>
        </w:rPr>
        <w:t>og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predlog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privred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indirektno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federalni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Rad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široko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dostupan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javnosti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Sv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materijali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osim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neformalnih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</w:t>
      </w:r>
      <w:r>
        <w:rPr>
          <w:rFonts w:ascii="Arial" w:hAnsi="Arial" w:cs="Arial"/>
          <w:sz w:val="20"/>
          <w:szCs w:val="20"/>
          <w:lang w:val="sr-Cyrl-RS"/>
        </w:rPr>
        <w:t>odnose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članova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Kongresa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njihovo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osoblje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privatni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predlozi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661C56">
        <w:rPr>
          <w:rFonts w:ascii="Arial" w:hAnsi="Arial" w:cs="Arial"/>
          <w:sz w:val="20"/>
          <w:szCs w:val="20"/>
          <w:lang w:val="sr-Cyrl-RS"/>
        </w:rPr>
        <w:t>)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dostupni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61C5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sajtu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Kongresne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661C56">
        <w:rPr>
          <w:rFonts w:ascii="Arial" w:hAnsi="Arial" w:cs="Arial"/>
          <w:sz w:val="20"/>
          <w:szCs w:val="20"/>
          <w:lang w:val="sr-Cyrl-RS"/>
        </w:rPr>
        <w:t>.</w:t>
      </w:r>
    </w:p>
    <w:p w:rsidR="00661C56" w:rsidRPr="00661C56" w:rsidRDefault="00661C56" w:rsidP="00661C56">
      <w:pPr>
        <w:keepNext/>
        <w:keepLines/>
        <w:spacing w:before="480" w:after="0"/>
        <w:outlineLvl w:val="0"/>
        <w:rPr>
          <w:rFonts w:ascii="Arial" w:eastAsia="Calibri" w:hAnsi="Arial" w:cstheme="majorBidi"/>
          <w:b/>
          <w:bCs/>
          <w:sz w:val="20"/>
          <w:szCs w:val="28"/>
          <w:lang w:val="sr-Cyrl-CS"/>
        </w:rPr>
      </w:pPr>
      <w:bookmarkStart w:id="6" w:name="_Toc361837150"/>
      <w:r>
        <w:rPr>
          <w:rFonts w:ascii="Arial" w:eastAsia="Calibri" w:hAnsi="Arial" w:cstheme="majorBidi"/>
          <w:b/>
          <w:bCs/>
          <w:sz w:val="20"/>
          <w:szCs w:val="28"/>
          <w:lang w:val="sr-Cyrl-CS"/>
        </w:rPr>
        <w:t>DRŽAVNA</w:t>
      </w:r>
      <w:r w:rsidRPr="00661C56">
        <w:rPr>
          <w:rFonts w:ascii="Arial" w:eastAsia="Calibri" w:hAnsi="Arial" w:cstheme="majorBidi"/>
          <w:b/>
          <w:bCs/>
          <w:sz w:val="20"/>
          <w:szCs w:val="28"/>
          <w:lang w:val="sr-Cyrl-CS"/>
        </w:rPr>
        <w:t xml:space="preserve"> </w:t>
      </w:r>
      <w:r>
        <w:rPr>
          <w:rFonts w:ascii="Arial" w:eastAsia="Calibri" w:hAnsi="Arial" w:cstheme="majorBidi"/>
          <w:b/>
          <w:bCs/>
          <w:sz w:val="20"/>
          <w:szCs w:val="28"/>
          <w:lang w:val="sr-Cyrl-CS"/>
        </w:rPr>
        <w:t>REVIZORSKA</w:t>
      </w:r>
      <w:r w:rsidRPr="00661C56">
        <w:rPr>
          <w:rFonts w:ascii="Arial" w:eastAsia="Calibri" w:hAnsi="Arial" w:cstheme="majorBidi"/>
          <w:b/>
          <w:bCs/>
          <w:sz w:val="20"/>
          <w:szCs w:val="28"/>
          <w:lang w:val="sr-Cyrl-CS"/>
        </w:rPr>
        <w:t xml:space="preserve"> </w:t>
      </w:r>
      <w:r>
        <w:rPr>
          <w:rFonts w:ascii="Arial" w:eastAsia="Calibri" w:hAnsi="Arial" w:cstheme="majorBidi"/>
          <w:b/>
          <w:bCs/>
          <w:sz w:val="20"/>
          <w:szCs w:val="28"/>
          <w:lang w:val="sr-Cyrl-CS"/>
        </w:rPr>
        <w:t>INSTITUCIJA</w:t>
      </w:r>
      <w:r w:rsidRPr="00661C56">
        <w:rPr>
          <w:rFonts w:ascii="Arial" w:eastAsia="Calibri" w:hAnsi="Arial" w:cstheme="majorBidi"/>
          <w:b/>
          <w:bCs/>
          <w:sz w:val="20"/>
          <w:szCs w:val="28"/>
          <w:lang w:val="sr-Cyrl-CS"/>
        </w:rPr>
        <w:t xml:space="preserve"> </w:t>
      </w:r>
      <w:r>
        <w:rPr>
          <w:rFonts w:ascii="Arial" w:eastAsia="Calibri" w:hAnsi="Arial" w:cstheme="majorBidi"/>
          <w:b/>
          <w:bCs/>
          <w:sz w:val="20"/>
          <w:szCs w:val="28"/>
          <w:lang w:val="sr-Cyrl-CS"/>
        </w:rPr>
        <w:t>SAD</w:t>
      </w:r>
      <w:bookmarkEnd w:id="6"/>
    </w:p>
    <w:p w:rsidR="00661C56" w:rsidRPr="00661C56" w:rsidRDefault="00661C56" w:rsidP="00661C56">
      <w:pPr>
        <w:rPr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Latn-C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 w:rsidRPr="00661C56">
        <w:rPr>
          <w:rFonts w:ascii="Arial" w:eastAsia="Calibri" w:hAnsi="Arial" w:cs="Arial"/>
          <w:sz w:val="20"/>
          <w:szCs w:val="20"/>
          <w:lang w:val="sr-Latn-CS"/>
        </w:rPr>
        <w:t>U.S. Government Accountability Office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– </w:t>
      </w:r>
      <w:r w:rsidRPr="00661C56">
        <w:rPr>
          <w:rFonts w:ascii="Arial" w:eastAsia="Calibri" w:hAnsi="Arial" w:cs="Arial"/>
          <w:sz w:val="20"/>
          <w:szCs w:val="20"/>
        </w:rPr>
        <w:t>GAO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osnovana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budžetu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</w:t>
      </w:r>
      <w:r>
        <w:rPr>
          <w:rFonts w:ascii="Arial" w:eastAsia="Calibri" w:hAnsi="Arial" w:cs="Arial"/>
          <w:sz w:val="20"/>
          <w:szCs w:val="20"/>
          <w:lang w:val="sr-Latn-RS"/>
        </w:rPr>
        <w:t>ačunovodstvu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1921.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661C56">
        <w:rPr>
          <w:rFonts w:ascii="Arial" w:eastAsia="Calibri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Agencija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zvanično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2004. </w:t>
      </w:r>
      <w:r w:rsidRPr="00661C56">
        <w:rPr>
          <w:rFonts w:ascii="Arial" w:eastAsia="Calibri" w:hAnsi="Arial" w:cs="Arial"/>
          <w:sz w:val="20"/>
          <w:szCs w:val="20"/>
          <w:lang w:val="sr-Latn-CS"/>
        </w:rPr>
        <w:t>g</w:t>
      </w:r>
      <w:r>
        <w:rPr>
          <w:rFonts w:ascii="Arial" w:eastAsia="Calibri" w:hAnsi="Arial" w:cs="Arial"/>
          <w:sz w:val="20"/>
          <w:szCs w:val="20"/>
          <w:lang w:val="sr-Cyrl-CS"/>
        </w:rPr>
        <w:t>odine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promenila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the General Accounting O</w:t>
      </w:r>
      <w:r w:rsidRPr="00661C56">
        <w:rPr>
          <w:rFonts w:ascii="Arial" w:eastAsia="Calibri" w:hAnsi="Arial" w:cs="Arial"/>
          <w:sz w:val="20"/>
          <w:szCs w:val="20"/>
          <w:lang w:val="sr-Latn-CS"/>
        </w:rPr>
        <w:t>ffice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Government Accountability Office. </w:t>
      </w:r>
      <w:r>
        <w:rPr>
          <w:rFonts w:ascii="Arial" w:eastAsia="Calibri" w:hAnsi="Arial" w:cs="Arial"/>
          <w:sz w:val="20"/>
          <w:szCs w:val="20"/>
          <w:lang w:val="sr-Cyrl-CS"/>
        </w:rPr>
        <w:t>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nezavisna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Poznata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nazivom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"</w:t>
      </w:r>
      <w:r>
        <w:rPr>
          <w:rFonts w:ascii="Arial" w:eastAsia="Calibri" w:hAnsi="Arial" w:cs="Arial"/>
          <w:sz w:val="20"/>
          <w:szCs w:val="20"/>
          <w:lang w:val="sr-Cyrl-CS"/>
        </w:rPr>
        <w:t>kongresni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pas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čuvar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"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"</w:t>
      </w:r>
      <w:r>
        <w:rPr>
          <w:rFonts w:ascii="Arial" w:eastAsia="Calibri" w:hAnsi="Arial" w:cs="Arial"/>
          <w:sz w:val="20"/>
          <w:szCs w:val="20"/>
          <w:lang w:val="sr-Cyrl-CS"/>
        </w:rPr>
        <w:t>najbolji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prijatelj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"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poreske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obveznike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prilikom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sprovođenja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sačinjavanja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istraživačkih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otkrivena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neefikasnost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Rad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transparentan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zapažen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strane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medija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Članovi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svojim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izlaganjima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veoma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često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spominju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rezultate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ove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njene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prilikom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rasprave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predlozima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2007. </w:t>
      </w:r>
      <w:r>
        <w:rPr>
          <w:rFonts w:ascii="Arial" w:eastAsia="Calibri" w:hAnsi="Arial" w:cs="Arial"/>
          <w:sz w:val="20"/>
          <w:szCs w:val="20"/>
          <w:lang w:val="sr-Cyrl-CS"/>
        </w:rPr>
        <w:t>godini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bila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listi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najboljih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mesta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Vašingtonu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istraživanja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obuhvatilo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privatni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sektor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Latn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Misija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podrži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pomogne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obezbeđivanju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veće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odgovornosti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Savezne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dobrobit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građana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ispituje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troši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novac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lastRenderedPageBreak/>
        <w:t>poreskih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obveznika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savetuje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zakonodavce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direktore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agencija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još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bolje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obavlja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vrši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određenim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slučajevima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zahtev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čelu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nalazi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glavni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njemu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svoj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odgovaraju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generalni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savetnik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izvršni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finansijski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čini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ujedno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izvršni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odbor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čelu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glavnim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Generalni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savetnik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pruža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svojim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širok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spektar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usluga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obezbeđuju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efikasno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ekonomično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poslovanje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agencije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sastoji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pravnika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pomažu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federalnim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agencijama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tumače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regulišu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trošenje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sredstava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realizaciji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mnogobrojnih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vladinih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aktivnosti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programa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ljudi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nepristrasno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130 </w:t>
      </w:r>
      <w:r>
        <w:rPr>
          <w:rFonts w:ascii="Arial" w:eastAsia="Calibri" w:hAnsi="Arial" w:cs="Arial"/>
          <w:sz w:val="20"/>
          <w:szCs w:val="20"/>
          <w:lang w:val="sr-Cyrl-CS"/>
        </w:rPr>
        <w:t>pravnika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Cyrl-CS"/>
        </w:rPr>
        <w:t>advokata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čini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njihov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objektivan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nepristrastan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Kancelarija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generalnog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inspektora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koja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organizacione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šeme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 </w:t>
      </w:r>
      <w:r>
        <w:rPr>
          <w:rFonts w:ascii="Arial" w:eastAsia="Calibri" w:hAnsi="Arial" w:cs="Arial"/>
          <w:sz w:val="20"/>
          <w:szCs w:val="20"/>
          <w:lang w:val="sr-Cyrl-CS"/>
        </w:rPr>
        <w:t>samostalno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obavlja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vrši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procenu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analizu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programa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preporuke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unapređenje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efikasnost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efektivnost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Inspektorat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ispituje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navode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mogućoj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prevari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 </w:t>
      </w:r>
      <w:r>
        <w:rPr>
          <w:rFonts w:ascii="Arial" w:eastAsia="Calibri" w:hAnsi="Arial" w:cs="Arial"/>
          <w:sz w:val="20"/>
          <w:szCs w:val="20"/>
          <w:lang w:val="sr-Cyrl-CS"/>
        </w:rPr>
        <w:t>lošem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upravljanju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kršenju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pravila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odnose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zaposlene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Državanoj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revizorskoj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 w:rsidRPr="00661C56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10"/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sedište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Vašingtonu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11 </w:t>
      </w:r>
      <w:r>
        <w:rPr>
          <w:rFonts w:ascii="Arial" w:eastAsia="Calibri" w:hAnsi="Arial" w:cs="Arial"/>
          <w:sz w:val="20"/>
          <w:szCs w:val="20"/>
          <w:lang w:val="sr-Cyrl-CS"/>
        </w:rPr>
        <w:t>najvećih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američkih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gradova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kancelarije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Prema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najnovijim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podacima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zaposleno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3.300 </w:t>
      </w:r>
      <w:r>
        <w:rPr>
          <w:rFonts w:ascii="Arial" w:eastAsia="Calibri" w:hAnsi="Arial" w:cs="Arial"/>
          <w:sz w:val="20"/>
          <w:szCs w:val="20"/>
          <w:lang w:val="sr-Cyrl-CS"/>
        </w:rPr>
        <w:t>ljudi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trećine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sedištu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čelu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nalazi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Glavni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CS"/>
        </w:rPr>
        <w:t>kontrolor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Calibri" w:hAnsi="Arial" w:cs="Arial"/>
          <w:sz w:val="20"/>
          <w:szCs w:val="20"/>
          <w:lang w:val="sr-Cyrl-CS"/>
        </w:rPr>
        <w:t>godina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nezavisna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njoj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službenici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karijere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angažovani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svog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znanja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veština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sposobnosti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Osoblje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širok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spektar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obrazovanja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CS"/>
        </w:rPr>
        <w:t>ekonomisti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sociolozi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računovođe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politički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analitičari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pravnici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kompjuterski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stručnjaci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stručnjaci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spoljne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politike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661C56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11"/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Svaki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odražava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vrednosti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CS"/>
        </w:rPr>
        <w:t>odgovornost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integritet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pouzdanost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strogim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profesionalnim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standardima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treba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naglasiti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proverava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tačnost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činjenice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podatke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koriste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agencije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ulogu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glavnog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Sjedinjenih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Američkih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Glavnog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agencije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imenuje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Predsednik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uz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pristanak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Senata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period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Calibri" w:hAnsi="Arial" w:cs="Arial"/>
          <w:sz w:val="20"/>
          <w:szCs w:val="20"/>
          <w:lang w:val="sr-Cyrl-CS"/>
        </w:rPr>
        <w:t>godina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bez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ponovni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mandat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Predsednik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kandidata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liste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najmanje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osobe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preporučuje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izabrana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dvodomna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komisija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Glavni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razrešen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strane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Predsednika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ali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strane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putem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opoziva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ili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zajedničke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odluke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zbog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određenih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razloga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lastRenderedPageBreak/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uspostavlja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standarde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vrši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vladinih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agencija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organizacija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pomoć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neprofitnih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organizacija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nevladinih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organizacija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standardi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često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nazivaju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opšteprihvaćenim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standardima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moraju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poštovani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strane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revizorskih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organizacija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Standardi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primenjuju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govori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kvalitetu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revizije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  </w:t>
      </w:r>
    </w:p>
    <w:p w:rsidR="00661C56" w:rsidRPr="00661C56" w:rsidRDefault="00661C56" w:rsidP="00661C5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Aktivnosti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odvijaju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skladu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zahtevima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odbora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pododbora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ili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odbora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obavlja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istraživanja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zahtev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glavnog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vrši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nadzor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revizorskim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institucijama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agencijama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utvrdilo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federalni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fondovi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troše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namenski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ispitivanjem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tvrdnji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nezakonitom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nepravilnom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predstavljanjem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političkih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upotpunjene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mišljenjem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donošenjem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zakonskih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rešenja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mišljenja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rešenja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pritužbe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tender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ili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agencije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savetodavna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mišljenja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direktorima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izvršnih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vezi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efikasnije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ravnopravnije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bolje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primenjuju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podzakonske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akte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uspešno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svoj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poboljšava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čuva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vrednost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imovine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milijarde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dolara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poreskih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obveznika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661C56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12"/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</w:p>
    <w:p w:rsidR="00661C56" w:rsidRPr="00661C56" w:rsidRDefault="00661C56" w:rsidP="00661C5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Izveštaji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nalaze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njenom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sajtu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osim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isključivo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službenu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upotrebu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nisu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dostupni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odnose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nacionalnu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bezbednost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Izveštaji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raznovrsni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odnose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savezni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budžet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pitanja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finansijskog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upravljanja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obrazovanje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pitanja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penzija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odbrane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unutrašnje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bezbednosti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sudstva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zdravstva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upravljanje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informacijama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tehnologijama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prirodne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resurse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životnu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sredinu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međunarodne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odnose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trgovinu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finansijska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tržišta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stanovanje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Većina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studija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izrađuje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inicijativu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ali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mnogi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izrađuju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periodično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Godišnje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uradi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900 </w:t>
      </w:r>
      <w:r>
        <w:rPr>
          <w:rFonts w:ascii="Arial" w:eastAsia="Calibri" w:hAnsi="Arial" w:cs="Arial"/>
          <w:sz w:val="20"/>
          <w:szCs w:val="20"/>
          <w:lang w:val="sr-Cyrl-CS"/>
        </w:rPr>
        <w:t>izveštaja</w:t>
      </w:r>
      <w:r w:rsidRPr="00661C56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13"/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Glavni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izrađuje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odnose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reviziji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budžeta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izveštaje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dugu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petogodišnji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strateški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plan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Trenutno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snazi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plan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2010 </w:t>
      </w:r>
      <w:r>
        <w:rPr>
          <w:rFonts w:ascii="Arial" w:eastAsia="Calibri" w:hAnsi="Arial" w:cs="Arial"/>
          <w:sz w:val="20"/>
          <w:szCs w:val="20"/>
          <w:lang w:val="sr-Cyrl-CS"/>
        </w:rPr>
        <w:t>do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2015.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Gene L. Dodaro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postao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osmi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glavni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-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došao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čelo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22. </w:t>
      </w:r>
      <w:r>
        <w:rPr>
          <w:rFonts w:ascii="Arial" w:eastAsia="Calibri" w:hAnsi="Arial" w:cs="Arial"/>
          <w:sz w:val="20"/>
          <w:szCs w:val="20"/>
          <w:lang w:val="sr-Cyrl-CS"/>
        </w:rPr>
        <w:t>decembra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2010. </w:t>
      </w:r>
      <w:r>
        <w:rPr>
          <w:rFonts w:ascii="Arial" w:eastAsia="Calibri" w:hAnsi="Arial" w:cs="Arial"/>
          <w:sz w:val="20"/>
          <w:szCs w:val="20"/>
          <w:lang w:val="sr-Cyrl-CS"/>
        </w:rPr>
        <w:t>Njega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nominovao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sadašnji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predsednik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Barak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septembru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2010.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marta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2008.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vršilac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dužnosti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glavnog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Državana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13 </w:t>
      </w:r>
      <w:r>
        <w:rPr>
          <w:rFonts w:ascii="Arial" w:eastAsia="Calibri" w:hAnsi="Arial" w:cs="Arial"/>
          <w:sz w:val="20"/>
          <w:szCs w:val="20"/>
          <w:lang w:val="sr-Cyrl-CS"/>
        </w:rPr>
        <w:t>timova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svaki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njih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svoju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delokrug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menadžment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nabavke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upravljanja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Savezne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agencije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troše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milijarde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dolara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svake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izrade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savremenog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naoružanja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satelitskih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sistema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napredne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tehnologije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širokog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asortimana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roba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usluga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Potrošnja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slučaju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predstavlja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veliku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stavku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budžetu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Analitičari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pomožu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utvrdi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novac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troši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efikasno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vreme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štite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interesi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RS"/>
        </w:rPr>
        <w:t>V</w:t>
      </w:r>
      <w:r>
        <w:rPr>
          <w:rFonts w:ascii="Arial" w:eastAsia="Calibri" w:hAnsi="Arial" w:cs="Arial"/>
          <w:sz w:val="20"/>
          <w:szCs w:val="20"/>
          <w:lang w:val="sr-Cyrl-CS"/>
        </w:rPr>
        <w:t>lade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povećanja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uloženih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investicija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njihova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maksimizacija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Zadatak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usvoji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bolje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kupovine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sistema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opreme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usluge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Nadzor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sprovodi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odbrane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postoji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najviše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ulaganja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centar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izradu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metoda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istraživanja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zadatak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vrši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tehničku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ekspertizu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izrađuje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ekspertize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podržavanja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ostalih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prilikom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vršenja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poverenog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doprinosi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boljem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kvalitetu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protoku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informacija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Službenici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zaposleni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delu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specijalni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konsultanti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timovina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okviru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potrebno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stručno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mišljenje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uraditi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tematsko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istraživanje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pripremiti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smernice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metodološko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istraživanje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slično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bavi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vršenjem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sprovođenjem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studija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zadatu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temu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zahtev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služba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čelu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6 </w:t>
      </w:r>
      <w:r>
        <w:rPr>
          <w:rFonts w:ascii="Arial" w:eastAsia="Calibri" w:hAnsi="Arial" w:cs="Arial"/>
          <w:sz w:val="20"/>
          <w:szCs w:val="20"/>
          <w:lang w:val="sr-Cyrl-CS"/>
        </w:rPr>
        <w:t>direktora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CS"/>
        </w:rPr>
        <w:t>glavni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ekonomista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računovođa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tehnolog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statističar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naučni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radnik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beležnik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svojim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službenicima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pruža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savete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drugim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timovima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Istraživanja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četiri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centra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pomažu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ostalim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timovina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CS"/>
        </w:rPr>
        <w:t>centar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ekonomiju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centar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dizajn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centar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evaluaciju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metoda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centar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nauku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tehnologiju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inženjering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Odbrana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upravljanje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podržava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napore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prilikom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nadzora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odbrane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modernizacije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transformacije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oružanih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snaga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Godišnje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troši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više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600 </w:t>
      </w:r>
      <w:r>
        <w:rPr>
          <w:rFonts w:ascii="Arial" w:eastAsia="Calibri" w:hAnsi="Arial" w:cs="Arial"/>
          <w:sz w:val="20"/>
          <w:szCs w:val="20"/>
          <w:lang w:val="sr-Cyrl-CS"/>
        </w:rPr>
        <w:t>milijardi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dolara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održavanje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oružanih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snaga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nepredviđene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operacije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Zbog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Državane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revizorske</w:t>
      </w:r>
      <w:r w:rsidRPr="00661C5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zadatak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pruži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pravovremene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preporuke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izvršnoj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poboljšao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program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sledećim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odbrana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CS"/>
        </w:rPr>
        <w:t>planiranje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struktura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oružanih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snaga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spremnost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obuka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strateško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upravljanje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upravljanje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budžetom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obrazovanje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rad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pomaže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obrazovanja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zapošljavanja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zaposlenih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pružanja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podrške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pojedincima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porodici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određenim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fazama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života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vrši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školovanje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dobro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procenjuju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podrške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osobama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invaliditetom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preporučuju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organizacije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trošenja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novca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programe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sprovesti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pojedinci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boljeg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kvalitetnijeg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života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analizira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lastRenderedPageBreak/>
        <w:t>efikasnost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programa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podstiču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razvoj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obrazovanje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odraslih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zaštitu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radnika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porodice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obezbeđivanje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adekvatnog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programa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odlazak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penziju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finansijski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menadžment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osiguranje</w:t>
      </w:r>
    </w:p>
    <w:p w:rsidR="00661C56" w:rsidRPr="00661C56" w:rsidRDefault="00661C56" w:rsidP="00661C56">
      <w:pPr>
        <w:spacing w:after="0" w:line="360" w:lineRule="auto"/>
        <w:ind w:left="720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Zadatak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uradi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ekspertize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vezane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finansijsku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forenzične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istrage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izradi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standarde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računovodstva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finansijsku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finansijsko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tržište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investicije</w:t>
      </w:r>
    </w:p>
    <w:p w:rsidR="00661C56" w:rsidRPr="00661C56" w:rsidRDefault="00661C56" w:rsidP="00661C56">
      <w:pPr>
        <w:spacing w:after="0" w:line="360" w:lineRule="auto"/>
        <w:ind w:left="720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podržava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 </w:t>
      </w:r>
      <w:r>
        <w:rPr>
          <w:rFonts w:ascii="Arial" w:eastAsia="Calibri" w:hAnsi="Arial" w:cs="Arial"/>
          <w:sz w:val="20"/>
          <w:szCs w:val="20"/>
          <w:lang w:val="sr-Cyrl-CS"/>
        </w:rPr>
        <w:t>ekonomija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socijalno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blagostanje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Glavni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zadatak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pronađu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mere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zaustavile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moguće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prevare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zloupotrebe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ugroze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finansijsku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stabilnost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preduzeća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 </w:t>
      </w:r>
      <w:r>
        <w:rPr>
          <w:rFonts w:ascii="Arial" w:eastAsia="Calibri" w:hAnsi="Arial" w:cs="Arial"/>
          <w:sz w:val="20"/>
          <w:szCs w:val="20"/>
          <w:lang w:val="sr-Cyrl-CS"/>
        </w:rPr>
        <w:t>domaćinstva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pojedinca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pomogne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usmeravanju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investicija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preduzeća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zajednice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zdravstvena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zaštita</w:t>
      </w: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kvalitetnije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pruža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izvršne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preporuke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obezbedila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bolja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unutrašnja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bezbednost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pravda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pomaže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svojim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istraživanjima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koriste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različite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analitičke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tehnike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uključujući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istraživanja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statističke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intervjue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recenzije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posmatranja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informacione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tehnologije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Informaciona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tehnologija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ključni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element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reformi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upravljanja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natera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određenim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situacijama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reaguje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Današnji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brz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tehnoloških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dostignuća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uključujući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interneta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nudi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mogućnosti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putem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poboljšaju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usluge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građanima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kroz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smanjenje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troškova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mogućnosti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međutim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stvaraju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velike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izazove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Zbog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zadatak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odgovori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važne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izazove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izgradnji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boljeg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međunarodni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odnosi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trgovina</w:t>
      </w:r>
    </w:p>
    <w:p w:rsidR="00661C56" w:rsidRPr="00661C56" w:rsidRDefault="00661C56" w:rsidP="00661C56">
      <w:pPr>
        <w:spacing w:after="0" w:line="360" w:lineRule="auto"/>
        <w:ind w:left="720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analizira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efikasnost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upravljanja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programima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pomoći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organizuju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Ujedinjene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slične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organizacije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Posebno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bave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temom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procene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efikasnosti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trgovinskih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sporazuma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lastRenderedPageBreak/>
        <w:t>programa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programi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štite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interes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Procenjuje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utiče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poboljšanje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svetskog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finansijskog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sistema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sprečavanja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ekonomske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krize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Nadzor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obuhvata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sledeće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organizacije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CS"/>
        </w:rPr>
        <w:t>NATO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Svetsku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banku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Ujedinjene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nacije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Ministarstvo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spoljnih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poslova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odbrane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Agenciju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međunarodni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razvoj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Međunarodni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monetarni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prirodna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bogatstva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životna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sredina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Radi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bolje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životne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sredine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prirodnih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bogatstava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pruža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podatke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činjenice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analizira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širok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spektar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pitanja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veza</w:t>
      </w:r>
      <w:r>
        <w:rPr>
          <w:rFonts w:ascii="Arial" w:eastAsia="Calibri" w:hAnsi="Arial" w:cs="Arial"/>
          <w:sz w:val="20"/>
          <w:szCs w:val="20"/>
          <w:lang w:val="sr-Latn-RS"/>
        </w:rPr>
        <w:t>n</w:t>
      </w:r>
      <w:r>
        <w:rPr>
          <w:rFonts w:ascii="Arial" w:eastAsia="Calibri" w:hAnsi="Arial" w:cs="Arial"/>
          <w:sz w:val="20"/>
          <w:szCs w:val="20"/>
          <w:lang w:val="sr-Cyrl-CS"/>
        </w:rPr>
        <w:t>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temu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okviru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pružaju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podaci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omogući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pouzdana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ekološki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adekvatna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isporuka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energije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adekvatno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upravljanje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vodenim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resursima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zemljištem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smanjenje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opasnosti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opasnog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nuklearnog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otpada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prirodna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infrastruktura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Pošto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vid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infrastrukture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velikog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značaja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međudržavnu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trgovinu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ekonomiju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izveštaji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naročito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značajni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Tema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predmet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infrastruktura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saobraćajni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sistemi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telekomunikacione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mreže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naftovodi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gasovodi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slično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strateška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pitanja</w:t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uspešno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suočio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izazovima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21. </w:t>
      </w:r>
      <w:r>
        <w:rPr>
          <w:rFonts w:ascii="Arial" w:eastAsia="Calibri" w:hAnsi="Arial" w:cs="Arial"/>
          <w:sz w:val="20"/>
          <w:szCs w:val="20"/>
          <w:lang w:val="sr-Cyrl-CS"/>
        </w:rPr>
        <w:t>veka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Kongres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suočava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strateškim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pitanjima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čemu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svega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fokusira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ulogu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="00DA76F8">
        <w:rPr>
          <w:rFonts w:ascii="Arial" w:eastAsia="Calibri" w:hAnsi="Arial" w:cs="Arial"/>
          <w:sz w:val="20"/>
          <w:szCs w:val="20"/>
          <w:lang w:val="sr-Latn-RS"/>
        </w:rPr>
        <w:t>V</w:t>
      </w:r>
      <w:r>
        <w:rPr>
          <w:rFonts w:ascii="Arial" w:eastAsia="Calibri" w:hAnsi="Arial" w:cs="Arial"/>
          <w:sz w:val="20"/>
          <w:szCs w:val="20"/>
          <w:lang w:val="sr-Cyrl-CS"/>
        </w:rPr>
        <w:t>lade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postizanju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nacionalih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ciljeva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sagledavanje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njene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sposobnosti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ciljeve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uspešno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realizuje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Rad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sastoji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obavljanja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analize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mogućnosti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rešavanje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fiskalnog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deficita</w:t>
      </w:r>
      <w:r w:rsidRPr="00661C56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14"/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61C56" w:rsidRPr="00661C56" w:rsidRDefault="00661C56" w:rsidP="00661C56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Podaci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o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Državnoj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revizorskoj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instituciji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SAD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( 2012.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godina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>)</w:t>
      </w:r>
    </w:p>
    <w:p w:rsidR="00661C56" w:rsidRPr="00661C56" w:rsidRDefault="00661C56" w:rsidP="00661C56">
      <w:pPr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Adresa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: GAO Headquarters 441 G St., NW, Washington, D.C. 20548</w:t>
      </w:r>
    </w:p>
    <w:p w:rsidR="00661C56" w:rsidRPr="00661C56" w:rsidRDefault="00661C56" w:rsidP="00661C56">
      <w:pPr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Kancelarije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gradovima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CS"/>
        </w:rPr>
        <w:t>Atlanta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Boston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Čikago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Dalas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Dejton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Denver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Los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Anđeles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Norfork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Hauntsvil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San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Francisko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Sijetl</w:t>
      </w:r>
    </w:p>
    <w:p w:rsidR="00661C56" w:rsidRPr="00661C56" w:rsidRDefault="00661C56" w:rsidP="00661C56">
      <w:pPr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Godina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osnivanja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: 1921.</w:t>
      </w:r>
    </w:p>
    <w:p w:rsidR="00661C56" w:rsidRPr="00661C56" w:rsidRDefault="00661C56" w:rsidP="00661C56">
      <w:pPr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Glavni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revizor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: Gene L. Dodaro</w:t>
      </w:r>
    </w:p>
    <w:p w:rsidR="00661C56" w:rsidRPr="00661C56" w:rsidRDefault="00661C56" w:rsidP="00661C56">
      <w:pPr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Broj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zaposlnenih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: 2.597</w:t>
      </w:r>
    </w:p>
    <w:p w:rsidR="00661C56" w:rsidRPr="00661C56" w:rsidRDefault="00661C56" w:rsidP="00661C56">
      <w:pPr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>Budžet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533,6 </w:t>
      </w:r>
      <w:r>
        <w:rPr>
          <w:rFonts w:ascii="Arial" w:eastAsia="Calibri" w:hAnsi="Arial" w:cs="Arial"/>
          <w:sz w:val="20"/>
          <w:szCs w:val="20"/>
          <w:lang w:val="sr-Cyrl-CS"/>
        </w:rPr>
        <w:t>miliona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dolara</w:t>
      </w:r>
    </w:p>
    <w:p w:rsidR="00661C56" w:rsidRPr="00661C56" w:rsidRDefault="00661C56" w:rsidP="00661C56">
      <w:pPr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lastRenderedPageBreak/>
        <w:t>Finansijska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korist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rada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Državne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revizorske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institucije</w:t>
      </w:r>
      <w:r w:rsidRPr="00661C56">
        <w:rPr>
          <w:rFonts w:ascii="Arial" w:eastAsia="Calibr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SAD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: 55,8 </w:t>
      </w:r>
      <w:r>
        <w:rPr>
          <w:rFonts w:ascii="Arial" w:eastAsia="Calibri" w:hAnsi="Arial" w:cs="Arial"/>
          <w:sz w:val="20"/>
          <w:szCs w:val="20"/>
          <w:lang w:val="sr-Cyrl-CS"/>
        </w:rPr>
        <w:t>milijardi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dolara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– 105 </w:t>
      </w:r>
      <w:r>
        <w:rPr>
          <w:rFonts w:ascii="Arial" w:eastAsia="Calibri" w:hAnsi="Arial" w:cs="Arial"/>
          <w:sz w:val="20"/>
          <w:szCs w:val="20"/>
          <w:lang w:val="sr-Cyrl-CS"/>
        </w:rPr>
        <w:t>dolara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vrati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svakog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dolara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uloži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Državnu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revizorsku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instituciju</w:t>
      </w:r>
      <w:r w:rsidRPr="00661C56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661C56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15"/>
      </w:r>
    </w:p>
    <w:p w:rsidR="00661C56" w:rsidRPr="00661C56" w:rsidRDefault="00661C56" w:rsidP="00661C56">
      <w:pPr>
        <w:spacing w:after="0" w:line="36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661C56" w:rsidRPr="00661C56" w:rsidRDefault="00661C56" w:rsidP="00661C56">
      <w:p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61C56" w:rsidRPr="00661C56" w:rsidRDefault="00661C56" w:rsidP="00661C56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Istraživanje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uradile</w:t>
      </w:r>
      <w:r w:rsidRPr="00661C56">
        <w:rPr>
          <w:rFonts w:ascii="Arial" w:hAnsi="Arial" w:cs="Arial"/>
          <w:sz w:val="20"/>
          <w:szCs w:val="20"/>
          <w:lang w:val="sr-Cyrl-RS"/>
        </w:rPr>
        <w:t>:</w:t>
      </w:r>
    </w:p>
    <w:p w:rsidR="00661C56" w:rsidRPr="00661C56" w:rsidRDefault="00661C56" w:rsidP="00661C56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lang w:val="sr-Cyrl-RS"/>
        </w:rPr>
        <w:tab/>
      </w:r>
      <w:r w:rsidRPr="00661C56">
        <w:rPr>
          <w:lang w:val="sr-Cyrl-RS"/>
        </w:rPr>
        <w:tab/>
      </w:r>
      <w:r w:rsidRPr="00661C56">
        <w:rPr>
          <w:lang w:val="sr-Cyrl-RS"/>
        </w:rPr>
        <w:tab/>
      </w:r>
      <w:r w:rsidRPr="00661C56">
        <w:rPr>
          <w:lang w:val="sr-Cyrl-RS"/>
        </w:rPr>
        <w:tab/>
      </w:r>
      <w:r w:rsidRPr="00661C56">
        <w:rPr>
          <w:lang w:val="sr-Cyrl-RS"/>
        </w:rPr>
        <w:tab/>
      </w:r>
      <w:r w:rsidRPr="00661C56">
        <w:rPr>
          <w:lang w:val="sr-Cyrl-RS"/>
        </w:rPr>
        <w:tab/>
      </w:r>
      <w:r w:rsidRPr="00661C56">
        <w:rPr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Tanja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Ostojić</w:t>
      </w:r>
    </w:p>
    <w:p w:rsidR="00661C56" w:rsidRPr="00661C56" w:rsidRDefault="00661C56" w:rsidP="00661C56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načelnik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Biblioteke</w:t>
      </w:r>
    </w:p>
    <w:p w:rsidR="00661C56" w:rsidRPr="00661C56" w:rsidRDefault="00661C56" w:rsidP="00661C56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661C56" w:rsidRPr="00661C56" w:rsidRDefault="00661C56" w:rsidP="00661C56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Ivana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Stefanović</w:t>
      </w:r>
    </w:p>
    <w:p w:rsidR="00661C56" w:rsidRPr="00661C56" w:rsidRDefault="00661C56" w:rsidP="00661C56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661C56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661C56" w:rsidRPr="00661C56" w:rsidRDefault="00661C56" w:rsidP="00661C56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661C56" w:rsidRPr="00661C56" w:rsidRDefault="00661C56" w:rsidP="00661C56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Milana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Šteković</w:t>
      </w:r>
    </w:p>
    <w:p w:rsidR="00661C56" w:rsidRPr="00661C56" w:rsidRDefault="00661C56" w:rsidP="00661C56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 w:rsidRPr="00661C56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661C56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960C52" w:rsidRDefault="00960C52"/>
    <w:sectPr w:rsidR="00960C52" w:rsidSect="00661C56">
      <w:footerReference w:type="defaul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4B" w:rsidRDefault="0022174B" w:rsidP="00661C56">
      <w:pPr>
        <w:spacing w:after="0" w:line="240" w:lineRule="auto"/>
      </w:pPr>
      <w:r>
        <w:separator/>
      </w:r>
    </w:p>
  </w:endnote>
  <w:endnote w:type="continuationSeparator" w:id="0">
    <w:p w:rsidR="0022174B" w:rsidRDefault="0022174B" w:rsidP="0066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307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C56" w:rsidRDefault="00661C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66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61C56" w:rsidRDefault="00661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4B" w:rsidRDefault="0022174B" w:rsidP="00661C56">
      <w:pPr>
        <w:spacing w:after="0" w:line="240" w:lineRule="auto"/>
      </w:pPr>
      <w:r>
        <w:separator/>
      </w:r>
    </w:p>
  </w:footnote>
  <w:footnote w:type="continuationSeparator" w:id="0">
    <w:p w:rsidR="0022174B" w:rsidRDefault="0022174B" w:rsidP="00661C56">
      <w:pPr>
        <w:spacing w:after="0" w:line="240" w:lineRule="auto"/>
      </w:pPr>
      <w:r>
        <w:continuationSeparator/>
      </w:r>
    </w:p>
  </w:footnote>
  <w:footnote w:id="1">
    <w:p w:rsidR="00661C56" w:rsidRPr="00EE6559" w:rsidRDefault="00661C56" w:rsidP="00661C56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</w:t>
      </w:r>
      <w:r w:rsidRPr="00EE6559">
        <w:rPr>
          <w:rFonts w:ascii="Arial" w:hAnsi="Arial" w:cs="Arial"/>
          <w:sz w:val="18"/>
          <w:szCs w:val="18"/>
          <w:lang w:val="sr-Cyrl-CS"/>
        </w:rPr>
        <w:t xml:space="preserve">:  </w:t>
      </w:r>
      <w:hyperlink r:id="rId1" w:history="1">
        <w:r w:rsidRPr="00EE6559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http://www.finance.senate.gov/about/membership/</w:t>
        </w:r>
      </w:hyperlink>
      <w:r w:rsidRPr="00EE6559">
        <w:rPr>
          <w:rFonts w:ascii="Arial" w:hAnsi="Arial" w:cs="Arial"/>
          <w:sz w:val="18"/>
          <w:szCs w:val="18"/>
          <w:lang w:val="sr-Cyrl-CS"/>
        </w:rPr>
        <w:t xml:space="preserve">  </w:t>
      </w:r>
    </w:p>
  </w:footnote>
  <w:footnote w:id="2">
    <w:p w:rsidR="00661C56" w:rsidRPr="00EE6559" w:rsidRDefault="00661C56" w:rsidP="00661C56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EE6559">
        <w:rPr>
          <w:rStyle w:val="FootnoteReference"/>
          <w:rFonts w:ascii="Arial" w:hAnsi="Arial" w:cs="Arial"/>
          <w:sz w:val="18"/>
          <w:szCs w:val="18"/>
        </w:rPr>
        <w:footnoteRef/>
      </w:r>
      <w:r w:rsidRPr="00EE65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</w:t>
      </w:r>
      <w:r w:rsidRPr="00EE6559">
        <w:rPr>
          <w:rFonts w:ascii="Arial" w:hAnsi="Arial" w:cs="Arial"/>
          <w:sz w:val="18"/>
          <w:szCs w:val="18"/>
          <w:lang w:val="sr-Cyrl-CS"/>
        </w:rPr>
        <w:t xml:space="preserve">:  </w:t>
      </w:r>
      <w:hyperlink r:id="rId2" w:history="1">
        <w:r w:rsidRPr="00EE6559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http://www.finance.senate.gov/about/jurisdiction/</w:t>
        </w:r>
      </w:hyperlink>
      <w:r w:rsidRPr="00EE6559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3">
    <w:p w:rsidR="00661C56" w:rsidRPr="00EE6559" w:rsidRDefault="00661C56" w:rsidP="00661C56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EE6559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EE65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</w:t>
      </w:r>
      <w:r w:rsidRPr="00EE6559">
        <w:rPr>
          <w:rFonts w:ascii="Arial" w:hAnsi="Arial" w:cs="Arial"/>
          <w:sz w:val="18"/>
          <w:szCs w:val="18"/>
          <w:lang w:val="sr-Cyrl-CS"/>
        </w:rPr>
        <w:t xml:space="preserve">:  </w:t>
      </w:r>
      <w:hyperlink r:id="rId3" w:history="1">
        <w:r w:rsidRPr="00EE6559">
          <w:rPr>
            <w:rStyle w:val="Hyperlink"/>
            <w:rFonts w:ascii="Arial" w:hAnsi="Arial" w:cs="Arial"/>
            <w:sz w:val="18"/>
            <w:szCs w:val="18"/>
            <w:lang w:val="sr-Cyrl-CS"/>
          </w:rPr>
          <w:t>http://appropriations.house.gov/</w:t>
        </w:r>
      </w:hyperlink>
      <w:r w:rsidRPr="00EE6559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4">
    <w:p w:rsidR="00661C56" w:rsidRPr="00EE6559" w:rsidRDefault="00661C56" w:rsidP="00661C56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EE6559">
        <w:rPr>
          <w:rStyle w:val="FootnoteReference"/>
          <w:rFonts w:ascii="Arial" w:hAnsi="Arial" w:cs="Arial"/>
          <w:sz w:val="18"/>
          <w:szCs w:val="18"/>
        </w:rPr>
        <w:footnoteRef/>
      </w:r>
      <w:r w:rsidRPr="00EE65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</w:t>
      </w:r>
      <w:r w:rsidRPr="00EE6559">
        <w:rPr>
          <w:rFonts w:ascii="Arial" w:hAnsi="Arial" w:cs="Arial"/>
          <w:sz w:val="18"/>
          <w:szCs w:val="18"/>
          <w:lang w:val="sr-Cyrl-CS"/>
        </w:rPr>
        <w:t xml:space="preserve">:  </w:t>
      </w:r>
      <w:hyperlink r:id="rId4" w:history="1">
        <w:r w:rsidRPr="00EE6559">
          <w:rPr>
            <w:rStyle w:val="Hyperlink"/>
            <w:rFonts w:ascii="Arial" w:hAnsi="Arial" w:cs="Arial"/>
            <w:sz w:val="18"/>
            <w:szCs w:val="18"/>
            <w:lang w:val="sr-Cyrl-CS"/>
          </w:rPr>
          <w:t>http://democrats.appropriations.house.gov/</w:t>
        </w:r>
      </w:hyperlink>
      <w:r w:rsidRPr="00EE6559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5">
    <w:p w:rsidR="00661C56" w:rsidRPr="00661C56" w:rsidRDefault="00661C56" w:rsidP="00661C56">
      <w:pPr>
        <w:pStyle w:val="FootnoteText"/>
        <w:rPr>
          <w:rFonts w:ascii="Arial" w:hAnsi="Arial" w:cs="Arial"/>
          <w:lang w:val="sr-Latn-RS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Engl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</w:rPr>
        <w:t xml:space="preserve">Appropriations – </w:t>
      </w:r>
      <w:r>
        <w:rPr>
          <w:rFonts w:ascii="Arial" w:hAnsi="Arial" w:cs="Arial"/>
          <w:lang w:val="sr-Latn-RS"/>
        </w:rPr>
        <w:t>odobravanje, prisvajanje</w:t>
      </w:r>
    </w:p>
  </w:footnote>
  <w:footnote w:id="6">
    <w:p w:rsidR="00661C56" w:rsidRDefault="00661C56" w:rsidP="00661C56">
      <w:pPr>
        <w:pStyle w:val="FootnoteText"/>
        <w:rPr>
          <w:rFonts w:ascii="Arial" w:hAnsi="Arial" w:cs="Arial"/>
          <w:lang w:val="sr-Cyrl-CS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</w:t>
      </w:r>
      <w:r>
        <w:rPr>
          <w:rFonts w:ascii="Arial" w:hAnsi="Arial" w:cs="Arial"/>
          <w:lang w:val="sr-Cyrl-CS"/>
        </w:rPr>
        <w:t xml:space="preserve">:  </w:t>
      </w:r>
      <w:hyperlink r:id="rId5" w:history="1">
        <w:r>
          <w:rPr>
            <w:rStyle w:val="Hyperlink"/>
            <w:rFonts w:ascii="Arial" w:hAnsi="Arial" w:cs="Arial"/>
            <w:lang w:val="sr-Cyrl-CS"/>
          </w:rPr>
          <w:t>http://docs.house.gov/meetings/AP/AP00/CPRT-113-HPRT-AP00-CommitteeRules-U1.pdf</w:t>
        </w:r>
      </w:hyperlink>
      <w:r>
        <w:rPr>
          <w:rFonts w:ascii="Arial" w:hAnsi="Arial" w:cs="Arial"/>
          <w:lang w:val="sr-Cyrl-CS"/>
        </w:rPr>
        <w:t xml:space="preserve"> </w:t>
      </w:r>
    </w:p>
  </w:footnote>
  <w:footnote w:id="7">
    <w:p w:rsidR="00661C56" w:rsidRDefault="00661C56" w:rsidP="00661C56">
      <w:pPr>
        <w:pStyle w:val="FootnoteText"/>
        <w:rPr>
          <w:rFonts w:ascii="Arial" w:hAnsi="Arial" w:cs="Arial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</w:t>
      </w:r>
      <w:r>
        <w:rPr>
          <w:rFonts w:ascii="Arial" w:hAnsi="Arial" w:cs="Arial"/>
          <w:lang w:val="sr-Cyrl-CS"/>
        </w:rPr>
        <w:t xml:space="preserve">:  </w:t>
      </w:r>
      <w:hyperlink r:id="rId6" w:history="1">
        <w:r>
          <w:rPr>
            <w:rStyle w:val="Hyperlink"/>
            <w:rFonts w:ascii="Arial" w:hAnsi="Arial" w:cs="Arial"/>
            <w:lang w:val="sr-Cyrl-CS"/>
          </w:rPr>
          <w:t>http://www.house.gov/content/learn/</w:t>
        </w:r>
      </w:hyperlink>
      <w:r>
        <w:rPr>
          <w:rFonts w:ascii="Arial" w:hAnsi="Arial" w:cs="Arial"/>
          <w:lang w:val="sr-Cyrl-CS"/>
        </w:rPr>
        <w:t xml:space="preserve"> </w:t>
      </w:r>
    </w:p>
  </w:footnote>
  <w:footnote w:id="8">
    <w:p w:rsidR="00661C56" w:rsidRPr="00661C56" w:rsidRDefault="00661C56" w:rsidP="00661C56">
      <w:pPr>
        <w:pStyle w:val="NoSpacing"/>
        <w:rPr>
          <w:rStyle w:val="hps"/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Više informacija je dostupno na veb adresi</w:t>
      </w:r>
      <w:r w:rsidRPr="00E73F95">
        <w:rPr>
          <w:rFonts w:ascii="Arial" w:hAnsi="Arial" w:cs="Arial"/>
          <w:sz w:val="18"/>
          <w:szCs w:val="18"/>
          <w:lang w:val="sr-Cyrl-RS"/>
        </w:rPr>
        <w:t xml:space="preserve">: </w:t>
      </w:r>
      <w:r w:rsidRPr="00661C56">
        <w:rPr>
          <w:rStyle w:val="hps"/>
          <w:rFonts w:ascii="Arial" w:hAnsi="Arial" w:cs="Arial"/>
          <w:sz w:val="18"/>
          <w:szCs w:val="18"/>
        </w:rPr>
        <w:t>http://www.researchamerica.org/federal_budget_process</w:t>
      </w:r>
    </w:p>
    <w:p w:rsidR="00661C56" w:rsidRDefault="00661C56" w:rsidP="00661C56">
      <w:pPr>
        <w:pStyle w:val="FootnoteText"/>
      </w:pPr>
    </w:p>
  </w:footnote>
  <w:footnote w:id="9">
    <w:p w:rsidR="00661C56" w:rsidRPr="00661C56" w:rsidRDefault="00661C56" w:rsidP="00661C56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7D53B6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D53B6">
        <w:rPr>
          <w:rFonts w:ascii="Arial" w:hAnsi="Arial" w:cs="Arial"/>
          <w:sz w:val="18"/>
          <w:szCs w:val="18"/>
          <w:lang w:val="bs-Latn-BA"/>
        </w:rPr>
        <w:t xml:space="preserve"> </w:t>
      </w:r>
      <w:r w:rsidRPr="00661C56">
        <w:rPr>
          <w:rStyle w:val="hps"/>
          <w:rFonts w:ascii="Arial" w:hAnsi="Arial" w:cs="Arial"/>
          <w:sz w:val="18"/>
          <w:szCs w:val="18"/>
          <w:lang w:val="bs-Latn-BA"/>
        </w:rPr>
        <w:t xml:space="preserve">Congressional Budget Office. </w:t>
      </w:r>
      <w:r w:rsidRPr="00661C56">
        <w:rPr>
          <w:rFonts w:ascii="Arial" w:hAnsi="Arial" w:cs="Arial"/>
          <w:sz w:val="18"/>
          <w:szCs w:val="18"/>
          <w:lang w:val="bs-Latn-BA"/>
        </w:rPr>
        <w:t>http://www.cbo.gov/about/our-processes</w:t>
      </w:r>
    </w:p>
  </w:footnote>
  <w:footnote w:id="10">
    <w:p w:rsidR="00661C56" w:rsidRPr="006A614D" w:rsidRDefault="00661C56" w:rsidP="00661C56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Izvor podataka</w:t>
      </w:r>
      <w:r w:rsidRPr="006A614D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7" w:history="1">
        <w:r w:rsidRPr="006A614D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http://www.gao.gov/about/workforce/orgchart.html</w:t>
        </w:r>
      </w:hyperlink>
      <w:r w:rsidRPr="006A614D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11">
    <w:p w:rsidR="00661C56" w:rsidRPr="00681B0F" w:rsidRDefault="00661C56" w:rsidP="00661C56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661C56">
        <w:rPr>
          <w:rFonts w:ascii="Arial" w:hAnsi="Arial" w:cs="Arial"/>
          <w:sz w:val="18"/>
          <w:szCs w:val="18"/>
          <w:lang w:val="sr-Latn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Izvor podataka</w:t>
      </w:r>
      <w:r w:rsidRPr="00681B0F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8" w:history="1">
        <w:r w:rsidRPr="00681B0F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http://www.gao.gov/index.html</w:t>
        </w:r>
      </w:hyperlink>
      <w:r w:rsidRPr="00681B0F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12">
    <w:p w:rsidR="00661C56" w:rsidRPr="00433FE4" w:rsidRDefault="00661C56" w:rsidP="00661C56">
      <w:pPr>
        <w:pStyle w:val="NoSpacing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Izvor podataka</w:t>
      </w:r>
      <w:r w:rsidRPr="00433FE4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9" w:history="1">
        <w:r w:rsidRPr="00433FE4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http://www.gao.gov/about/index.html</w:t>
        </w:r>
      </w:hyperlink>
      <w:r w:rsidRPr="00433FE4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13">
    <w:p w:rsidR="00661C56" w:rsidRPr="00433FE4" w:rsidRDefault="00661C56" w:rsidP="00661C56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433FE4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Latn-RS"/>
        </w:rPr>
        <w:t xml:space="preserve"> Izvor podataka</w:t>
      </w:r>
      <w:r w:rsidRPr="00433FE4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10" w:history="1">
        <w:r w:rsidRPr="00433FE4">
          <w:rPr>
            <w:rStyle w:val="Hyperlink"/>
            <w:rFonts w:ascii="Arial" w:hAnsi="Arial" w:cs="Arial"/>
            <w:sz w:val="18"/>
            <w:szCs w:val="18"/>
            <w:lang w:val="sr-Cyrl-CS"/>
          </w:rPr>
          <w:t>http://translate.google.rs/translate?hl=sr&amp;sl=en&amp;tl=sr&amp;u=http%3A%2F%2Fen.wikipedia.org%2Fwiki%2FGovernment_Accountability_Office&amp;anno=2</w:t>
        </w:r>
      </w:hyperlink>
      <w:r w:rsidRPr="00433FE4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14">
    <w:p w:rsidR="00661C56" w:rsidRPr="007C1523" w:rsidRDefault="00661C56" w:rsidP="00661C56">
      <w:pPr>
        <w:pStyle w:val="NoSpacing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="00DA76F8" w:rsidRPr="00DA76F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DA76F8">
        <w:rPr>
          <w:rFonts w:ascii="Arial" w:hAnsi="Arial" w:cs="Arial"/>
          <w:sz w:val="18"/>
          <w:szCs w:val="18"/>
          <w:lang w:val="sr-Latn-RS"/>
        </w:rPr>
        <w:t>Izvor podataka</w:t>
      </w:r>
      <w:r w:rsidRPr="007C1523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11" w:history="1">
        <w:r w:rsidRPr="007C1523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http://www.gao.gov/about/workforce/teams.html</w:t>
        </w:r>
      </w:hyperlink>
      <w:r w:rsidRPr="007C1523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15">
    <w:p w:rsidR="00661C56" w:rsidRPr="007C1523" w:rsidRDefault="00661C56" w:rsidP="00661C56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7C1523">
        <w:rPr>
          <w:rStyle w:val="FootnoteReference"/>
          <w:rFonts w:ascii="Arial" w:hAnsi="Arial" w:cs="Arial"/>
          <w:sz w:val="18"/>
          <w:szCs w:val="18"/>
        </w:rPr>
        <w:footnoteRef/>
      </w:r>
      <w:r w:rsidR="00DA76F8">
        <w:rPr>
          <w:rFonts w:ascii="Arial" w:hAnsi="Arial" w:cs="Arial"/>
          <w:sz w:val="18"/>
          <w:szCs w:val="18"/>
          <w:lang w:val="sr-Latn-RS"/>
        </w:rPr>
        <w:t xml:space="preserve"> Izvor podataka</w:t>
      </w:r>
      <w:r w:rsidRPr="007C1523">
        <w:rPr>
          <w:rFonts w:ascii="Arial" w:hAnsi="Arial" w:cs="Arial"/>
          <w:sz w:val="18"/>
          <w:szCs w:val="18"/>
        </w:rPr>
        <w:t xml:space="preserve"> </w:t>
      </w:r>
      <w:r w:rsidRPr="007C1523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12" w:history="1">
        <w:r w:rsidRPr="007C1523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http://www.gao.gov/about/gglance.html</w:t>
        </w:r>
      </w:hyperlink>
    </w:p>
    <w:p w:rsidR="00661C56" w:rsidRPr="007C1523" w:rsidRDefault="00661C56" w:rsidP="00661C56">
      <w:pPr>
        <w:pStyle w:val="NoSpacing"/>
        <w:rPr>
          <w:rFonts w:ascii="Arial" w:hAnsi="Arial" w:cs="Arial"/>
          <w:sz w:val="18"/>
          <w:szCs w:val="18"/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9FE"/>
    <w:multiLevelType w:val="hybridMultilevel"/>
    <w:tmpl w:val="AD90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5AFD"/>
    <w:multiLevelType w:val="multilevel"/>
    <w:tmpl w:val="EAC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05F9F"/>
    <w:multiLevelType w:val="hybridMultilevel"/>
    <w:tmpl w:val="C16CE1F4"/>
    <w:lvl w:ilvl="0" w:tplc="B9C08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416A0"/>
    <w:multiLevelType w:val="hybridMultilevel"/>
    <w:tmpl w:val="7FCC1E82"/>
    <w:lvl w:ilvl="0" w:tplc="13DAD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56"/>
    <w:rsid w:val="001A7340"/>
    <w:rsid w:val="0022174B"/>
    <w:rsid w:val="002248CE"/>
    <w:rsid w:val="00661C56"/>
    <w:rsid w:val="007A266A"/>
    <w:rsid w:val="00960C52"/>
    <w:rsid w:val="00A03AA3"/>
    <w:rsid w:val="00D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C56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C56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ps">
    <w:name w:val="hps"/>
    <w:basedOn w:val="DefaultParagraphFont"/>
    <w:rsid w:val="00661C56"/>
  </w:style>
  <w:style w:type="character" w:styleId="Hyperlink">
    <w:name w:val="Hyperlink"/>
    <w:basedOn w:val="DefaultParagraphFont"/>
    <w:uiPriority w:val="99"/>
    <w:unhideWhenUsed/>
    <w:rsid w:val="00661C5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C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C56"/>
    <w:rPr>
      <w:vertAlign w:val="superscript"/>
    </w:rPr>
  </w:style>
  <w:style w:type="character" w:customStyle="1" w:styleId="atn">
    <w:name w:val="atn"/>
    <w:basedOn w:val="DefaultParagraphFont"/>
    <w:rsid w:val="00661C56"/>
  </w:style>
  <w:style w:type="paragraph" w:styleId="ListParagraph">
    <w:name w:val="List Paragraph"/>
    <w:basedOn w:val="Normal"/>
    <w:uiPriority w:val="34"/>
    <w:qFormat/>
    <w:rsid w:val="00661C5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61C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1C5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5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C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56"/>
  </w:style>
  <w:style w:type="paragraph" w:styleId="Footer">
    <w:name w:val="footer"/>
    <w:basedOn w:val="Normal"/>
    <w:link w:val="FooterChar"/>
    <w:uiPriority w:val="99"/>
    <w:unhideWhenUsed/>
    <w:rsid w:val="0066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56"/>
  </w:style>
  <w:style w:type="paragraph" w:styleId="TOC1">
    <w:name w:val="toc 1"/>
    <w:basedOn w:val="Normal"/>
    <w:next w:val="Normal"/>
    <w:autoRedefine/>
    <w:uiPriority w:val="39"/>
    <w:unhideWhenUsed/>
    <w:rsid w:val="00661C56"/>
    <w:pPr>
      <w:spacing w:after="10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C56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C56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ps">
    <w:name w:val="hps"/>
    <w:basedOn w:val="DefaultParagraphFont"/>
    <w:rsid w:val="00661C56"/>
  </w:style>
  <w:style w:type="character" w:styleId="Hyperlink">
    <w:name w:val="Hyperlink"/>
    <w:basedOn w:val="DefaultParagraphFont"/>
    <w:uiPriority w:val="99"/>
    <w:unhideWhenUsed/>
    <w:rsid w:val="00661C5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C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C56"/>
    <w:rPr>
      <w:vertAlign w:val="superscript"/>
    </w:rPr>
  </w:style>
  <w:style w:type="character" w:customStyle="1" w:styleId="atn">
    <w:name w:val="atn"/>
    <w:basedOn w:val="DefaultParagraphFont"/>
    <w:rsid w:val="00661C56"/>
  </w:style>
  <w:style w:type="paragraph" w:styleId="ListParagraph">
    <w:name w:val="List Paragraph"/>
    <w:basedOn w:val="Normal"/>
    <w:uiPriority w:val="34"/>
    <w:qFormat/>
    <w:rsid w:val="00661C5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61C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1C5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5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C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56"/>
  </w:style>
  <w:style w:type="paragraph" w:styleId="Footer">
    <w:name w:val="footer"/>
    <w:basedOn w:val="Normal"/>
    <w:link w:val="FooterChar"/>
    <w:uiPriority w:val="99"/>
    <w:unhideWhenUsed/>
    <w:rsid w:val="0066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56"/>
  </w:style>
  <w:style w:type="paragraph" w:styleId="TOC1">
    <w:name w:val="toc 1"/>
    <w:basedOn w:val="Normal"/>
    <w:next w:val="Normal"/>
    <w:autoRedefine/>
    <w:uiPriority w:val="39"/>
    <w:unhideWhenUsed/>
    <w:rsid w:val="00661C56"/>
    <w:pPr>
      <w:spacing w:after="10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Office_of_Management_and_Budg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r.wikipedia.org/wiki/%D0%98%D0%B7%D0%B2%D1%80%D1%88%D0%BD%D0%B0_%D0%B2%D0%BB%D0%B0%D1%81%D1%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r.wikipedia.org/wiki/%D0%A8%D0%B5%D1%84_%D0%B2%D0%BB%D0%B0%D0%B4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o.gov/index.html" TargetMode="External"/><Relationship Id="rId3" Type="http://schemas.openxmlformats.org/officeDocument/2006/relationships/hyperlink" Target="http://appropriations.house.gov/" TargetMode="External"/><Relationship Id="rId7" Type="http://schemas.openxmlformats.org/officeDocument/2006/relationships/hyperlink" Target="http://www.gao.gov/about/workforce/orgchart.html" TargetMode="External"/><Relationship Id="rId12" Type="http://schemas.openxmlformats.org/officeDocument/2006/relationships/hyperlink" Target="http://www.gao.gov/about/gglance.html" TargetMode="External"/><Relationship Id="rId2" Type="http://schemas.openxmlformats.org/officeDocument/2006/relationships/hyperlink" Target="http://www.finance.senate.gov/about/jurisdiction/" TargetMode="External"/><Relationship Id="rId1" Type="http://schemas.openxmlformats.org/officeDocument/2006/relationships/hyperlink" Target="http://www.finance.senate.gov/about/membership/" TargetMode="External"/><Relationship Id="rId6" Type="http://schemas.openxmlformats.org/officeDocument/2006/relationships/hyperlink" Target="http://www.house.gov/content/learn/" TargetMode="External"/><Relationship Id="rId11" Type="http://schemas.openxmlformats.org/officeDocument/2006/relationships/hyperlink" Target="http://www.gao.gov/about/workforce/teams.html" TargetMode="External"/><Relationship Id="rId5" Type="http://schemas.openxmlformats.org/officeDocument/2006/relationships/hyperlink" Target="http://docs.house.gov/meetings/AP/AP00/CPRT-113-HPRT-AP00-CommitteeRules-U1.pdf" TargetMode="External"/><Relationship Id="rId10" Type="http://schemas.openxmlformats.org/officeDocument/2006/relationships/hyperlink" Target="http://translate.google.rs/translate?hl=sr&amp;sl=en&amp;tl=sr&amp;u=http%3A%2F%2Fen.wikipedia.org%2Fwiki%2FGovernment_Accountability_Office&amp;anno=2" TargetMode="External"/><Relationship Id="rId4" Type="http://schemas.openxmlformats.org/officeDocument/2006/relationships/hyperlink" Target="http://democrats.appropriations.house.gov/" TargetMode="External"/><Relationship Id="rId9" Type="http://schemas.openxmlformats.org/officeDocument/2006/relationships/hyperlink" Target="http://www.gao.gov/abou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7CCF-4C4B-4061-93E7-515F401F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5720</Words>
  <Characters>32608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3</cp:revision>
  <dcterms:created xsi:type="dcterms:W3CDTF">2013-07-08T12:24:00Z</dcterms:created>
  <dcterms:modified xsi:type="dcterms:W3CDTF">2013-07-17T13:11:00Z</dcterms:modified>
</cp:coreProperties>
</file>